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5"/>
        <w:gridCol w:w="8833"/>
      </w:tblGrid>
      <w:tr w:rsidR="00667BB9" w:rsidRPr="00667BB9" w:rsidTr="00667BB9">
        <w:trPr>
          <w:tblCellSpacing w:w="0" w:type="dxa"/>
        </w:trPr>
        <w:tc>
          <w:tcPr>
            <w:tcW w:w="0" w:type="auto"/>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bookmarkStart w:id="0" w:name="_GoBack"/>
            <w:bookmarkEnd w:id="0"/>
          </w:p>
        </w:tc>
        <w:tc>
          <w:tcPr>
            <w:tcW w:w="11556" w:type="dxa"/>
            <w:hideMark/>
          </w:tcPr>
          <w:tbl>
            <w:tblPr>
              <w:tblW w:w="11556" w:type="dxa"/>
              <w:tblCellSpacing w:w="0" w:type="dxa"/>
              <w:tblCellMar>
                <w:left w:w="0" w:type="dxa"/>
                <w:right w:w="0" w:type="dxa"/>
              </w:tblCellMar>
              <w:tblLook w:val="04A0" w:firstRow="1" w:lastRow="0" w:firstColumn="1" w:lastColumn="0" w:noHBand="0" w:noVBand="1"/>
            </w:tblPr>
            <w:tblGrid>
              <w:gridCol w:w="11556"/>
            </w:tblGrid>
            <w:tr w:rsidR="00667BB9" w:rsidRPr="00667BB9">
              <w:trPr>
                <w:tblCellSpacing w:w="0" w:type="dxa"/>
              </w:trPr>
              <w:tc>
                <w:tcPr>
                  <w:tcW w:w="11556" w:type="dxa"/>
                  <w:vAlign w:val="center"/>
                  <w:hideMark/>
                </w:tcPr>
                <w:p w:rsidR="00667BB9" w:rsidRPr="00667BB9" w:rsidRDefault="00667BB9" w:rsidP="00667BB9">
                  <w:pPr>
                    <w:spacing w:before="100" w:beforeAutospacing="1" w:after="0" w:line="240" w:lineRule="auto"/>
                    <w:rPr>
                      <w:rFonts w:ascii="Times New Roman" w:eastAsia="Times New Roman" w:hAnsi="Times New Roman" w:cs="Times New Roman"/>
                      <w:color w:val="00478E"/>
                      <w:sz w:val="24"/>
                      <w:szCs w:val="24"/>
                      <w:lang w:eastAsia="es-CO"/>
                    </w:rPr>
                  </w:pPr>
                  <w:proofErr w:type="spellStart"/>
                  <w:r w:rsidRPr="00667BB9">
                    <w:rPr>
                      <w:rFonts w:ascii="Times New Roman" w:eastAsia="Times New Roman" w:hAnsi="Times New Roman" w:cs="Times New Roman"/>
                      <w:color w:val="00478E"/>
                      <w:sz w:val="24"/>
                      <w:szCs w:val="24"/>
                      <w:lang w:eastAsia="es-CO"/>
                    </w:rPr>
                    <w:t>Resolucion</w:t>
                  </w:r>
                  <w:proofErr w:type="spellEnd"/>
                  <w:r w:rsidRPr="00667BB9">
                    <w:rPr>
                      <w:rFonts w:ascii="Times New Roman" w:eastAsia="Times New Roman" w:hAnsi="Times New Roman" w:cs="Times New Roman"/>
                      <w:color w:val="00478E"/>
                      <w:sz w:val="24"/>
                      <w:szCs w:val="24"/>
                      <w:lang w:eastAsia="es-CO"/>
                    </w:rPr>
                    <w:t xml:space="preserve"> 001608 </w:t>
                  </w:r>
                </w:p>
              </w:tc>
            </w:tr>
            <w:tr w:rsidR="00667BB9" w:rsidRPr="00667BB9">
              <w:trPr>
                <w:tblCellSpacing w:w="0" w:type="dxa"/>
              </w:trPr>
              <w:tc>
                <w:tcPr>
                  <w:tcW w:w="11556" w:type="dxa"/>
                  <w:vAlign w:val="center"/>
                  <w:hideMark/>
                </w:tcPr>
                <w:p w:rsidR="00667BB9" w:rsidRPr="00667BB9" w:rsidRDefault="00667BB9" w:rsidP="00667BB9">
                  <w:pPr>
                    <w:spacing w:before="100" w:beforeAutospacing="1" w:after="0" w:line="240" w:lineRule="auto"/>
                    <w:rPr>
                      <w:rFonts w:ascii="Times New Roman" w:eastAsia="Times New Roman" w:hAnsi="Times New Roman" w:cs="Times New Roman"/>
                      <w:color w:val="4D4D4D"/>
                      <w:sz w:val="24"/>
                      <w:szCs w:val="24"/>
                      <w:lang w:eastAsia="es-CO"/>
                    </w:rPr>
                  </w:pPr>
                  <w:r w:rsidRPr="00667BB9">
                    <w:rPr>
                      <w:rFonts w:ascii="Times New Roman" w:eastAsia="Times New Roman" w:hAnsi="Times New Roman" w:cs="Times New Roman"/>
                      <w:color w:val="4D4D4D"/>
                      <w:sz w:val="24"/>
                      <w:szCs w:val="24"/>
                      <w:lang w:eastAsia="es-CO"/>
                    </w:rPr>
                    <w:t>17-May-2017</w:t>
                  </w:r>
                  <w:r w:rsidRPr="00667BB9">
                    <w:rPr>
                      <w:rFonts w:ascii="Times New Roman" w:eastAsia="Times New Roman" w:hAnsi="Times New Roman" w:cs="Times New Roman"/>
                      <w:color w:val="DCDCDC"/>
                      <w:sz w:val="24"/>
                      <w:szCs w:val="24"/>
                      <w:lang w:eastAsia="es-CO"/>
                    </w:rPr>
                    <w:t>  |  </w:t>
                  </w:r>
                  <w:r w:rsidRPr="00667BB9">
                    <w:rPr>
                      <w:rFonts w:ascii="Times New Roman" w:eastAsia="Times New Roman" w:hAnsi="Times New Roman" w:cs="Times New Roman"/>
                      <w:color w:val="4D4D4D"/>
                      <w:sz w:val="24"/>
                      <w:szCs w:val="24"/>
                      <w:lang w:eastAsia="es-CO"/>
                    </w:rPr>
                    <w:t>Ministerio de Salud y Protección Social </w:t>
                  </w:r>
                </w:p>
              </w:tc>
            </w:tr>
            <w:tr w:rsidR="00667BB9" w:rsidRPr="00667BB9">
              <w:trPr>
                <w:tblCellSpacing w:w="0" w:type="dxa"/>
              </w:trPr>
              <w:tc>
                <w:tcPr>
                  <w:tcW w:w="11556" w:type="dxa"/>
                  <w:tcMar>
                    <w:top w:w="0" w:type="dxa"/>
                    <w:left w:w="600" w:type="dxa"/>
                    <w:bottom w:w="0" w:type="dxa"/>
                    <w:right w:w="0" w:type="dxa"/>
                  </w:tcMar>
                  <w:vAlign w:val="center"/>
                  <w:hideMark/>
                </w:tcPr>
                <w:p w:rsidR="00667BB9" w:rsidRPr="00667BB9" w:rsidRDefault="00667BB9" w:rsidP="00667BB9">
                  <w:pPr>
                    <w:spacing w:before="100" w:beforeAutospacing="1" w:after="0" w:line="240" w:lineRule="auto"/>
                    <w:rPr>
                      <w:rFonts w:ascii="Times New Roman" w:eastAsia="Times New Roman" w:hAnsi="Times New Roman" w:cs="Times New Roman"/>
                      <w:sz w:val="24"/>
                      <w:szCs w:val="24"/>
                      <w:lang w:eastAsia="es-CO"/>
                    </w:rPr>
                  </w:pPr>
                  <w:r w:rsidRPr="00667BB9">
                    <w:rPr>
                      <w:rFonts w:ascii="Times New Roman" w:eastAsia="Times New Roman" w:hAnsi="Times New Roman" w:cs="Times New Roman"/>
                      <w:noProof/>
                      <w:sz w:val="24"/>
                      <w:szCs w:val="24"/>
                      <w:lang w:eastAsia="es-CO"/>
                    </w:rPr>
                    <w:drawing>
                      <wp:inline distT="0" distB="0" distL="0" distR="0">
                        <wp:extent cx="182880" cy="99060"/>
                        <wp:effectExtent l="0" t="0" r="7620" b="0"/>
                        <wp:docPr id="3" name="Imagen 3" descr="Tr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89" descr="Trn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 cy="99060"/>
                                </a:xfrm>
                                <a:prstGeom prst="rect">
                                  <a:avLst/>
                                </a:prstGeom>
                                <a:noFill/>
                                <a:ln>
                                  <a:noFill/>
                                </a:ln>
                              </pic:spPr>
                            </pic:pic>
                          </a:graphicData>
                        </a:graphic>
                      </wp:inline>
                    </w:drawing>
                  </w:r>
                  <w:r w:rsidRPr="00667BB9">
                    <w:rPr>
                      <w:rFonts w:ascii="Times New Roman" w:eastAsia="Times New Roman" w:hAnsi="Times New Roman" w:cs="Times New Roman"/>
                      <w:sz w:val="24"/>
                      <w:szCs w:val="24"/>
                      <w:lang w:eastAsia="es-CO"/>
                    </w:rPr>
                    <w:t> </w:t>
                  </w:r>
                </w:p>
              </w:tc>
            </w:tr>
            <w:tr w:rsidR="00667BB9" w:rsidRPr="00667BB9">
              <w:trPr>
                <w:tblCellSpacing w:w="0" w:type="dxa"/>
              </w:trPr>
              <w:tc>
                <w:tcPr>
                  <w:tcW w:w="11556" w:type="dxa"/>
                  <w:vAlign w:val="center"/>
                  <w:hideMark/>
                </w:tcPr>
                <w:p w:rsidR="00667BB9" w:rsidRPr="00667BB9" w:rsidRDefault="00667BB9" w:rsidP="00667BB9">
                  <w:pPr>
                    <w:spacing w:before="100" w:beforeAutospacing="1" w:after="0" w:line="240" w:lineRule="auto"/>
                    <w:rPr>
                      <w:rFonts w:ascii="Times New Roman" w:eastAsia="Times New Roman" w:hAnsi="Times New Roman" w:cs="Times New Roman"/>
                      <w:sz w:val="24"/>
                      <w:szCs w:val="24"/>
                      <w:lang w:eastAsia="es-CO"/>
                    </w:rPr>
                  </w:pPr>
                  <w:r w:rsidRPr="00667BB9">
                    <w:rPr>
                      <w:rFonts w:ascii="Times New Roman" w:eastAsia="Times New Roman" w:hAnsi="Times New Roman" w:cs="Times New Roman"/>
                      <w:b/>
                      <w:bCs/>
                      <w:sz w:val="24"/>
                      <w:szCs w:val="24"/>
                      <w:lang w:eastAsia="es-CO"/>
                    </w:rPr>
                    <w:t>Relatoría CETA:</w:t>
                  </w:r>
                  <w:r w:rsidRPr="00667BB9">
                    <w:rPr>
                      <w:rFonts w:ascii="Times New Roman" w:eastAsia="Times New Roman" w:hAnsi="Times New Roman" w:cs="Times New Roman"/>
                      <w:sz w:val="24"/>
                      <w:szCs w:val="24"/>
                      <w:lang w:eastAsia="es-CO"/>
                    </w:rPr>
                    <w:t xml:space="preserve"> PLANILLA INTEGRADA DE LIQUIDACIÓN DE APORTES (PILA)./// "POR LA CUAL SE MODIFICAN LOS ANEXOS TÉCNICOS 2, 4 Y 5 ESTABLECIDOS EN LA RESOLUCIÓN 2388 DE 2016 CON EL FIN DE DAR CUMPLIMIENTO A LA LEY 1819 DE 2016".// "...Las modificaciones que plantea la Resolución proyectada obedecen a la necesidad de adaptar la PILA a los términos del artículo 114-1 del estatuto Tributario, adicionado por la Ley 1819 de 2016, el cual establece la exoneración del pago de los aportes parafiscales a algunas sociedades y personas jurídicas y asimiladas contribuyentes declarantes del impuesto sobre la renta y complementarios; así como también actualizarla a los términos de los artículos 316, 317, 318 y 320 de la Ley 1819 de 2016 que establecen, en relación con los procesos administrativos y judiciales que lleva a cabo UGPP, la reducción de intereses de mora en el pago de los aportes al Sistema de la Protección Social y, finalmente, ajustarla a lo previsto en el Decreto 1990 de 2016 que modifica la regla de aproximación y el plazo para el pago de los aportes al Sistema de Seguridad Social Integral y Parafiscales...."</w:t>
                  </w:r>
                </w:p>
              </w:tc>
            </w:tr>
          </w:tbl>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bl>
    <w:p w:rsidR="00667BB9" w:rsidRPr="00667BB9" w:rsidRDefault="00667BB9" w:rsidP="00667BB9">
      <w:pPr>
        <w:spacing w:after="0" w:line="240" w:lineRule="auto"/>
        <w:rPr>
          <w:rFonts w:ascii="Times New Roman" w:eastAsia="Times New Roman" w:hAnsi="Times New Roman" w:cs="Times New Roman"/>
          <w:vanish/>
          <w:sz w:val="24"/>
          <w:szCs w:val="24"/>
          <w:lang w:eastAsia="es-CO"/>
        </w:rPr>
      </w:pPr>
    </w:p>
    <w:tbl>
      <w:tblPr>
        <w:tblW w:w="0" w:type="auto"/>
        <w:tblCellSpacing w:w="0" w:type="dxa"/>
        <w:tblCellMar>
          <w:left w:w="0" w:type="dxa"/>
          <w:right w:w="0" w:type="dxa"/>
        </w:tblCellMar>
        <w:tblLook w:val="04A0" w:firstRow="1" w:lastRow="0" w:firstColumn="1" w:lastColumn="0" w:noHBand="0" w:noVBand="1"/>
      </w:tblPr>
      <w:tblGrid>
        <w:gridCol w:w="85"/>
        <w:gridCol w:w="8753"/>
      </w:tblGrid>
      <w:tr w:rsidR="00667BB9" w:rsidRPr="00667BB9" w:rsidTr="00667BB9">
        <w:trPr>
          <w:trHeight w:val="288"/>
          <w:tblCellSpacing w:w="0" w:type="dxa"/>
        </w:trPr>
        <w:tc>
          <w:tcPr>
            <w:tcW w:w="96" w:type="dxa"/>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r w:rsidRPr="00667BB9">
              <w:rPr>
                <w:rFonts w:ascii="Times New Roman" w:eastAsia="Times New Roman" w:hAnsi="Times New Roman" w:cs="Times New Roman"/>
                <w:noProof/>
                <w:sz w:val="24"/>
                <w:szCs w:val="24"/>
                <w:lang w:eastAsia="es-CO"/>
              </w:rPr>
              <w:drawing>
                <wp:inline distT="0" distB="0" distL="0" distR="0">
                  <wp:extent cx="76200" cy="7620"/>
                  <wp:effectExtent l="0" t="0" r="0" b="0"/>
                  <wp:docPr id="2" name="Imagen 2" descr="https://www.ceta.org.co/assets/images/autogen/clear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eta.org.co/assets/images/autogen/clearpixe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 cy="7620"/>
                          </a:xfrm>
                          <a:prstGeom prst="rect">
                            <a:avLst/>
                          </a:prstGeom>
                          <a:noFill/>
                          <a:ln>
                            <a:noFill/>
                          </a:ln>
                        </pic:spPr>
                      </pic:pic>
                    </a:graphicData>
                  </a:graphic>
                </wp:inline>
              </w:drawing>
            </w:r>
          </w:p>
        </w:tc>
        <w:tc>
          <w:tcPr>
            <w:tcW w:w="0" w:type="auto"/>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rsidTr="00667BB9">
        <w:trPr>
          <w:tblCellSpacing w:w="0" w:type="dxa"/>
        </w:trPr>
        <w:tc>
          <w:tcPr>
            <w:tcW w:w="0" w:type="auto"/>
            <w:hideMark/>
          </w:tcPr>
          <w:p w:rsidR="00667BB9" w:rsidRPr="00667BB9" w:rsidRDefault="00667BB9" w:rsidP="00667BB9">
            <w:pPr>
              <w:spacing w:after="0" w:line="240" w:lineRule="auto"/>
              <w:rPr>
                <w:rFonts w:ascii="Times New Roman" w:eastAsia="Times New Roman" w:hAnsi="Times New Roman" w:cs="Times New Roman"/>
                <w:sz w:val="20"/>
                <w:szCs w:val="20"/>
                <w:lang w:eastAsia="es-CO"/>
              </w:rPr>
            </w:pPr>
          </w:p>
        </w:tc>
        <w:tc>
          <w:tcPr>
            <w:tcW w:w="11484" w:type="dxa"/>
            <w:hideMark/>
          </w:tcPr>
          <w:tbl>
            <w:tblPr>
              <w:tblW w:w="11484" w:type="dxa"/>
              <w:tblCellSpacing w:w="0" w:type="dxa"/>
              <w:tblCellMar>
                <w:left w:w="0" w:type="dxa"/>
                <w:right w:w="0" w:type="dxa"/>
              </w:tblCellMar>
              <w:tblLook w:val="04A0" w:firstRow="1" w:lastRow="0" w:firstColumn="1" w:lastColumn="0" w:noHBand="0" w:noVBand="1"/>
            </w:tblPr>
            <w:tblGrid>
              <w:gridCol w:w="11464"/>
              <w:gridCol w:w="20"/>
            </w:tblGrid>
            <w:tr w:rsidR="00667BB9" w:rsidRPr="00667BB9">
              <w:trPr>
                <w:tblCellSpacing w:w="0" w:type="dxa"/>
              </w:trPr>
              <w:tc>
                <w:tcPr>
                  <w:tcW w:w="0" w:type="auto"/>
                  <w:vAlign w:val="center"/>
                  <w:hideMark/>
                </w:tcPr>
                <w:tbl>
                  <w:tblPr>
                    <w:tblpPr w:leftFromText="36" w:rightFromText="36" w:vertAnchor="text" w:tblpXSpec="right" w:tblpYSpec="center"/>
                    <w:tblW w:w="3600" w:type="dxa"/>
                    <w:tblCellSpacing w:w="0" w:type="dxa"/>
                    <w:tblCellMar>
                      <w:left w:w="0" w:type="dxa"/>
                      <w:right w:w="0" w:type="dxa"/>
                    </w:tblCellMar>
                    <w:tblLook w:val="04A0" w:firstRow="1" w:lastRow="0" w:firstColumn="1" w:lastColumn="0" w:noHBand="0" w:noVBand="1"/>
                  </w:tblPr>
                  <w:tblGrid>
                    <w:gridCol w:w="3600"/>
                  </w:tblGrid>
                  <w:tr w:rsidR="00667BB9" w:rsidRPr="00667BB9">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600"/>
                        </w:tblGrid>
                        <w:tr w:rsidR="00667BB9" w:rsidRPr="00667BB9">
                          <w:trPr>
                            <w:tblCellSpacing w:w="0" w:type="dxa"/>
                          </w:trPr>
                          <w:tc>
                            <w:tcPr>
                              <w:tcW w:w="1800" w:type="dxa"/>
                              <w:vAlign w:val="center"/>
                              <w:hideMark/>
                            </w:tcPr>
                            <w:p w:rsidR="00667BB9" w:rsidRPr="00667BB9" w:rsidRDefault="001A0343" w:rsidP="00667BB9">
                              <w:pPr>
                                <w:spacing w:before="100" w:beforeAutospacing="1" w:after="0" w:line="240" w:lineRule="auto"/>
                                <w:jc w:val="center"/>
                                <w:rPr>
                                  <w:rFonts w:ascii="Times New Roman" w:eastAsia="Times New Roman" w:hAnsi="Times New Roman" w:cs="Times New Roman"/>
                                  <w:sz w:val="24"/>
                                  <w:szCs w:val="24"/>
                                  <w:lang w:eastAsia="es-CO"/>
                                </w:rPr>
                              </w:pPr>
                              <w:hyperlink r:id="rId6" w:anchor="Concordancias" w:history="1">
                                <w:r w:rsidR="00667BB9" w:rsidRPr="00667BB9">
                                  <w:rPr>
                                    <w:rFonts w:ascii="Times New Roman" w:eastAsia="Times New Roman" w:hAnsi="Times New Roman" w:cs="Times New Roman"/>
                                    <w:color w:val="0000FF"/>
                                    <w:sz w:val="24"/>
                                    <w:szCs w:val="24"/>
                                    <w:u w:val="single"/>
                                    <w:lang w:eastAsia="es-CO"/>
                                  </w:rPr>
                                  <w:t>Ver Concordancias</w:t>
                                </w:r>
                              </w:hyperlink>
                            </w:p>
                          </w:tc>
                        </w:tr>
                      </w:tbl>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bl>
                <w:p w:rsidR="00667BB9" w:rsidRPr="00667BB9" w:rsidRDefault="00667BB9" w:rsidP="00667BB9">
                  <w:pPr>
                    <w:spacing w:after="0" w:line="240" w:lineRule="auto"/>
                    <w:rPr>
                      <w:rFonts w:ascii="Times New Roman" w:eastAsia="Times New Roman" w:hAnsi="Times New Roman" w:cs="Times New Roman"/>
                      <w:b/>
                      <w:bCs/>
                      <w:color w:val="00478E"/>
                      <w:sz w:val="24"/>
                      <w:szCs w:val="24"/>
                      <w:lang w:eastAsia="es-CO"/>
                    </w:rPr>
                  </w:pPr>
                  <w:r w:rsidRPr="00667BB9">
                    <w:rPr>
                      <w:rFonts w:ascii="Times New Roman" w:eastAsia="Times New Roman" w:hAnsi="Times New Roman" w:cs="Times New Roman"/>
                      <w:b/>
                      <w:bCs/>
                      <w:color w:val="00478E"/>
                      <w:sz w:val="24"/>
                      <w:szCs w:val="24"/>
                      <w:lang w:eastAsia="es-CO"/>
                    </w:rPr>
                    <w:t>Texto completo</w:t>
                  </w:r>
                </w:p>
              </w:tc>
              <w:tc>
                <w:tcPr>
                  <w:tcW w:w="0" w:type="auto"/>
                  <w:vAlign w:val="center"/>
                  <w:hideMark/>
                </w:tcPr>
                <w:p w:rsidR="00667BB9" w:rsidRPr="00667BB9" w:rsidRDefault="00667BB9" w:rsidP="00667BB9">
                  <w:pPr>
                    <w:spacing w:after="0" w:line="240" w:lineRule="auto"/>
                    <w:rPr>
                      <w:rFonts w:ascii="Times New Roman" w:eastAsia="Times New Roman" w:hAnsi="Times New Roman" w:cs="Times New Roman"/>
                      <w:b/>
                      <w:bCs/>
                      <w:color w:val="00478E"/>
                      <w:sz w:val="24"/>
                      <w:szCs w:val="24"/>
                      <w:lang w:eastAsia="es-CO"/>
                    </w:rPr>
                  </w:pPr>
                </w:p>
              </w:tc>
            </w:tr>
            <w:tr w:rsidR="00667BB9" w:rsidRPr="00667BB9">
              <w:trPr>
                <w:tblCellSpacing w:w="0" w:type="dxa"/>
              </w:trPr>
              <w:tc>
                <w:tcPr>
                  <w:tcW w:w="0" w:type="auto"/>
                  <w:gridSpan w:val="2"/>
                  <w:tcMar>
                    <w:top w:w="0" w:type="dxa"/>
                    <w:left w:w="600" w:type="dxa"/>
                    <w:bottom w:w="0" w:type="dxa"/>
                    <w:right w:w="0" w:type="dxa"/>
                  </w:tcMar>
                  <w:vAlign w:val="center"/>
                  <w:hideMark/>
                </w:tcPr>
                <w:p w:rsidR="00667BB9" w:rsidRPr="00667BB9" w:rsidRDefault="00667BB9" w:rsidP="00667BB9">
                  <w:pPr>
                    <w:spacing w:before="100" w:beforeAutospacing="1" w:after="0" w:line="240" w:lineRule="auto"/>
                    <w:rPr>
                      <w:rFonts w:ascii="Times New Roman" w:eastAsia="Times New Roman" w:hAnsi="Times New Roman" w:cs="Times New Roman"/>
                      <w:sz w:val="24"/>
                      <w:szCs w:val="24"/>
                      <w:lang w:eastAsia="es-CO"/>
                    </w:rPr>
                  </w:pPr>
                  <w:r w:rsidRPr="00667BB9">
                    <w:rPr>
                      <w:rFonts w:ascii="Times New Roman" w:eastAsia="Times New Roman" w:hAnsi="Times New Roman" w:cs="Times New Roman"/>
                      <w:noProof/>
                      <w:sz w:val="24"/>
                      <w:szCs w:val="24"/>
                      <w:lang w:eastAsia="es-CO"/>
                    </w:rPr>
                    <w:drawing>
                      <wp:inline distT="0" distB="0" distL="0" distR="0">
                        <wp:extent cx="182880" cy="99060"/>
                        <wp:effectExtent l="0" t="0" r="7620" b="0"/>
                        <wp:docPr id="1" name="Imagen 1" descr="Tr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90" descr="Trn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 cy="99060"/>
                                </a:xfrm>
                                <a:prstGeom prst="rect">
                                  <a:avLst/>
                                </a:prstGeom>
                                <a:noFill/>
                                <a:ln>
                                  <a:noFill/>
                                </a:ln>
                              </pic:spPr>
                            </pic:pic>
                          </a:graphicData>
                        </a:graphic>
                      </wp:inline>
                    </w:drawing>
                  </w:r>
                </w:p>
              </w:tc>
            </w:tr>
            <w:tr w:rsidR="00667BB9" w:rsidRPr="00667BB9">
              <w:trPr>
                <w:tblCellSpacing w:w="0" w:type="dxa"/>
              </w:trPr>
              <w:tc>
                <w:tcPr>
                  <w:tcW w:w="0" w:type="auto"/>
                  <w:gridSpan w:val="2"/>
                  <w:shd w:val="clear" w:color="auto" w:fill="FFFFFF"/>
                  <w:tcMar>
                    <w:top w:w="30" w:type="dxa"/>
                    <w:left w:w="30" w:type="dxa"/>
                    <w:bottom w:w="30" w:type="dxa"/>
                    <w:right w:w="30" w:type="dxa"/>
                  </w:tcMar>
                  <w:vAlign w:val="center"/>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color w:val="0000FF"/>
                      <w:sz w:val="28"/>
                      <w:lang w:eastAsia="es-CO"/>
                    </w:rPr>
                    <w:t>Resolución Nº 001608</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color w:val="0000FF"/>
                      <w:sz w:val="28"/>
                      <w:lang w:eastAsia="es-CO"/>
                    </w:rPr>
                    <w:t>17-05-</w:t>
                  </w:r>
                  <w:r w:rsidRPr="00667BB9">
                    <w:rPr>
                      <w:rFonts w:ascii="Segoe UI" w:eastAsia="Times New Roman" w:hAnsi="Segoe UI" w:cs="Segoe UI"/>
                      <w:b/>
                      <w:bCs/>
                      <w:color w:val="0000FF"/>
                      <w:sz w:val="28"/>
                      <w:lang w:eastAsia="es-CO"/>
                    </w:rPr>
                    <w:t>2017</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color w:val="0000FF"/>
                      <w:sz w:val="28"/>
                      <w:lang w:eastAsia="es-CO"/>
                    </w:rPr>
                    <w:t>M</w:t>
                  </w:r>
                  <w:r w:rsidRPr="00667BB9">
                    <w:rPr>
                      <w:rFonts w:ascii="Segoe UI" w:eastAsia="Times New Roman" w:hAnsi="Segoe UI" w:cs="Segoe UI"/>
                      <w:b/>
                      <w:bCs/>
                      <w:color w:val="0000FF"/>
                      <w:sz w:val="28"/>
                      <w:lang w:eastAsia="es-CO"/>
                    </w:rPr>
                    <w:t xml:space="preserve">inisterio de </w:t>
                  </w:r>
                  <w:r w:rsidRPr="00667BB9">
                    <w:rPr>
                      <w:rFonts w:ascii="Segoe UI" w:eastAsia="Times New Roman" w:hAnsi="Segoe UI" w:cs="Segoe UI"/>
                      <w:b/>
                      <w:color w:val="0000FF"/>
                      <w:sz w:val="28"/>
                      <w:lang w:eastAsia="es-CO"/>
                    </w:rPr>
                    <w:t>S</w:t>
                  </w:r>
                  <w:r w:rsidRPr="00667BB9">
                    <w:rPr>
                      <w:rFonts w:ascii="Segoe UI" w:eastAsia="Times New Roman" w:hAnsi="Segoe UI" w:cs="Segoe UI"/>
                      <w:b/>
                      <w:bCs/>
                      <w:color w:val="0000FF"/>
                      <w:sz w:val="28"/>
                      <w:lang w:eastAsia="es-CO"/>
                    </w:rPr>
                    <w:t xml:space="preserve">alud y Protección </w:t>
                  </w:r>
                  <w:r w:rsidRPr="00667BB9">
                    <w:rPr>
                      <w:rFonts w:ascii="Segoe UI" w:eastAsia="Times New Roman" w:hAnsi="Segoe UI" w:cs="Segoe UI"/>
                      <w:b/>
                      <w:color w:val="0000FF"/>
                      <w:sz w:val="28"/>
                      <w:lang w:eastAsia="es-CO"/>
                    </w:rPr>
                    <w:t>S</w:t>
                  </w:r>
                  <w:r w:rsidRPr="00667BB9">
                    <w:rPr>
                      <w:rFonts w:ascii="Segoe UI" w:eastAsia="Times New Roman" w:hAnsi="Segoe UI" w:cs="Segoe UI"/>
                      <w:b/>
                      <w:bCs/>
                      <w:color w:val="0000FF"/>
                      <w:sz w:val="28"/>
                      <w:lang w:eastAsia="es-CO"/>
                    </w:rPr>
                    <w:t>ocial</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i/>
                      <w:iCs/>
                      <w:color w:val="0000FF"/>
                      <w:lang w:eastAsia="es-CO"/>
                    </w:rPr>
                    <w:t> </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i/>
                      <w:iCs/>
                      <w:color w:val="0000FF"/>
                      <w:lang w:eastAsia="es-CO"/>
                    </w:rPr>
                    <w:t> </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gramStart"/>
                  <w:r w:rsidRPr="00667BB9">
                    <w:rPr>
                      <w:rFonts w:ascii="Segoe UI" w:eastAsia="Times New Roman" w:hAnsi="Segoe UI" w:cs="Segoe UI"/>
                      <w:i/>
                      <w:iCs/>
                      <w:lang w:eastAsia="es-CO"/>
                    </w:rPr>
                    <w:t>por</w:t>
                  </w:r>
                  <w:proofErr w:type="gramEnd"/>
                  <w:r w:rsidRPr="00667BB9">
                    <w:rPr>
                      <w:rFonts w:ascii="Segoe UI" w:eastAsia="Times New Roman" w:hAnsi="Segoe UI" w:cs="Segoe UI"/>
                      <w:i/>
                      <w:iCs/>
                      <w:lang w:eastAsia="es-CO"/>
                    </w:rPr>
                    <w:t xml:space="preserve"> la cual se modifican los Anexos Técnicos 2, 4 y 5 establecidos en la Resolución 2388 de 2016 con el fin de dar cumplimiento a la Ley 1819 de 2016.</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El Ministro de Salud y Protección Social, en ejercicio de sus facultades, en especial, de la conferida en el numeral 23 del artículo 2° del Decreto–ley 4107 de 2011, en desarrollo de lo previsto en los artículos 65, 316, 317, 318 y 320 de la Ley 1819 de 2016, el 3.2.3.4 del Título 3 de la Parte 2 del Libro 3 del Decreto 780 de 2016, y</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lang w:eastAsia="es-CO"/>
                    </w:rPr>
                    <w:t>CONSIDERANDO:</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Que la Resolución 2388 de 2016 unifica las reglas para el recaudo de aportes al Sistema de Seguridad Social Integral y parafiscales y, en su artículo 1°, adopta los anexos técnicos de la Planilla Integrada de Liquidación de Aportes (PILA), modificados por la Resolución 5858 de 2016.</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Que el artículo 65 de la Ley 1819 de 2016 “</w:t>
                  </w:r>
                  <w:r w:rsidRPr="00667BB9">
                    <w:rPr>
                      <w:rFonts w:ascii="Segoe UI" w:eastAsia="Times New Roman" w:hAnsi="Segoe UI" w:cs="Segoe UI"/>
                      <w:i/>
                      <w:iCs/>
                      <w:lang w:eastAsia="es-CO"/>
                    </w:rPr>
                    <w:t>por medio de la cual se adopta una reforma tributaria estructural, se fortalecen los mecanismos para la lucha contra la evasión y la elusión fiscal, y se dictan otras disposiciones</w:t>
                  </w:r>
                  <w:r w:rsidRPr="00667BB9">
                    <w:rPr>
                      <w:rFonts w:ascii="Segoe UI" w:eastAsia="Times New Roman" w:hAnsi="Segoe UI" w:cs="Segoe UI"/>
                      <w:lang w:eastAsia="es-CO"/>
                    </w:rPr>
                    <w:t xml:space="preserve">” adiciona el </w:t>
                  </w:r>
                  <w:hyperlink r:id="rId7" w:tooltip="Estatuto Tributario CETA" w:history="1">
                    <w:r w:rsidRPr="00667BB9">
                      <w:rPr>
                        <w:rFonts w:ascii="Segoe UI" w:eastAsia="Times New Roman" w:hAnsi="Segoe UI" w:cs="Segoe UI"/>
                        <w:color w:val="0000FF"/>
                        <w:u w:val="single"/>
                        <w:lang w:eastAsia="es-CO"/>
                      </w:rPr>
                      <w:t>artículo 114-1</w:t>
                    </w:r>
                  </w:hyperlink>
                  <w:r w:rsidRPr="00667BB9">
                    <w:rPr>
                      <w:rFonts w:ascii="Segoe UI" w:eastAsia="Times New Roman" w:hAnsi="Segoe UI" w:cs="Segoe UI"/>
                      <w:lang w:eastAsia="es-CO"/>
                    </w:rPr>
                    <w:t xml:space="preserve"> del Estatuto Tributario, el cual establece la exoneración del pago de los aportes parafiscales a favor del Servicio Nacional del Aprendizaje (SENA), del Instituto Colombiano de Bienestar Familiar (ICBF) y las cotizaciones al Régimen Contributivo de Salud, de las sociedades y personas jurídicas y asimiladas contribuyentes declarantes del impuesto sobre la renta y complementarios, correspondientes a los trabajadores que devenguen, individualmente considerados, menos de diez (10) salarios mínimos mensuales legales vigentes, así como también, para las personas naturales empleadoras de dos o más empleados que devenguen menos de diez (10) salarios mínimos legales mensuales vigentes.</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lastRenderedPageBreak/>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Que los artículos 316, 317, 318 y 320 de la Ley 1819 de 2016 establecen, en relación con los procesos administrativos y judiciales que lleva a cabo la Unidad Administrativa Especial de Gestión Pensional y Contribuciones Parafiscales de la Protección Social (UGPP), la reducción de intereses de mora en el pago de los aportes al Sistema de la Protección Social, lo cual hace necesario ajustar la Planilla Integrada de Liquidación de Aportes (PILA).</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Que, de otro lado, el Decreto 1990 de 2016, “</w:t>
                  </w:r>
                  <w:r w:rsidRPr="00667BB9">
                    <w:rPr>
                      <w:rFonts w:ascii="Segoe UI" w:eastAsia="Times New Roman" w:hAnsi="Segoe UI" w:cs="Segoe UI"/>
                      <w:i/>
                      <w:iCs/>
                      <w:lang w:eastAsia="es-CO"/>
                    </w:rPr>
                    <w:t xml:space="preserve">por medio del cual se modifica el artículo 3.2.1.5., se adicionan artículos al Título 3 de la Parte 2 del Libro 3 y se sustituyen los artículos 3.2.2.1., 3.2.2.2. y 3.2.2.3 del Decreto 780 de 2016, Único Reglamentario del Sector Salud, en relación con las reglas de aproximación de los valores contenidos en la planilla de autoliquidación de aportes; se fijan plazos y condiciones para la autoliquidación y pago de los aportes al Sistema de Seguridad Social Integral y parafiscales, respectivamente”, </w:t>
                  </w:r>
                  <w:r w:rsidRPr="00667BB9">
                    <w:rPr>
                      <w:rFonts w:ascii="Segoe UI" w:eastAsia="Times New Roman" w:hAnsi="Segoe UI" w:cs="Segoe UI"/>
                      <w:lang w:eastAsia="es-CO"/>
                    </w:rPr>
                    <w:t>modifica la regla de aproximación y el plazo para el pago de los aportes al Sistema de Seguridad Social Integral y Parafiscales, por lo que se requiere ajustar los anexos técnicos de la Resolución 2388 de 2016 y sus modificatorias.</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En mérito de lo expuesto,</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lang w:eastAsia="es-CO"/>
                    </w:rPr>
                    <w:t>RESUELVE:</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sz w:val="24"/>
                      <w:szCs w:val="24"/>
                      <w:lang w:eastAsia="es-CO"/>
                    </w:rPr>
                    <w:t>Artículo 1°.</w:t>
                  </w:r>
                  <w:r w:rsidRPr="00667BB9">
                    <w:rPr>
                      <w:rFonts w:ascii="Segoe UI" w:eastAsia="Times New Roman" w:hAnsi="Segoe UI" w:cs="Segoe UI"/>
                      <w:sz w:val="24"/>
                      <w:szCs w:val="24"/>
                      <w:lang w:eastAsia="es-CO"/>
                    </w:rPr>
                    <w:t xml:space="preserve"> Modificar los Anexos Técnicos 2, 4 y 5 contentivos de las especificaciones y estructura de los archivos de la Planilla Integrada de Liquidación de Aportes (PILA) que forman parte de la Resolución 2388 de 2016 modificados por la Resolución 5858 de 2016 y 980 de 2017, así:</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xml:space="preserve">1. En el numeral 1.1 </w:t>
                  </w:r>
                  <w:r w:rsidRPr="00667BB9">
                    <w:rPr>
                      <w:rFonts w:ascii="Segoe UI" w:eastAsia="Times New Roman" w:hAnsi="Segoe UI" w:cs="Segoe UI"/>
                      <w:i/>
                      <w:iCs/>
                      <w:lang w:eastAsia="es-CO"/>
                    </w:rPr>
                    <w:t>“Estructura de datos archivo tipo 1</w:t>
                  </w:r>
                  <w:r w:rsidRPr="00667BB9">
                    <w:rPr>
                      <w:rFonts w:ascii="Segoe UI" w:eastAsia="Times New Roman" w:hAnsi="Segoe UI" w:cs="Segoe UI"/>
                      <w:lang w:eastAsia="es-CO"/>
                    </w:rPr>
                    <w:t xml:space="preserve">” del capítulo 1 </w:t>
                  </w:r>
                  <w:r w:rsidRPr="00667BB9">
                    <w:rPr>
                      <w:rFonts w:ascii="Segoe UI" w:eastAsia="Times New Roman" w:hAnsi="Segoe UI" w:cs="Segoe UI"/>
                      <w:i/>
                      <w:iCs/>
                      <w:lang w:eastAsia="es-CO"/>
                    </w:rPr>
                    <w:t xml:space="preserve">“Archivos de entrada” </w:t>
                  </w:r>
                  <w:r w:rsidRPr="00667BB9">
                    <w:rPr>
                      <w:rFonts w:ascii="Segoe UI" w:eastAsia="Times New Roman" w:hAnsi="Segoe UI" w:cs="Segoe UI"/>
                      <w:lang w:eastAsia="es-CO"/>
                    </w:rPr>
                    <w:t xml:space="preserve">del Anexo Técnico 2 </w:t>
                  </w:r>
                  <w:r w:rsidRPr="00667BB9">
                    <w:rPr>
                      <w:rFonts w:ascii="Segoe UI" w:eastAsia="Times New Roman" w:hAnsi="Segoe UI" w:cs="Segoe UI"/>
                      <w:i/>
                      <w:iCs/>
                      <w:lang w:eastAsia="es-CO"/>
                    </w:rPr>
                    <w:t xml:space="preserve">“Aportes a Seguridad Social de Activos” </w:t>
                  </w:r>
                  <w:r w:rsidRPr="00667BB9">
                    <w:rPr>
                      <w:rFonts w:ascii="Segoe UI" w:eastAsia="Times New Roman" w:hAnsi="Segoe UI" w:cs="Segoe UI"/>
                      <w:lang w:eastAsia="es-CO"/>
                    </w:rPr>
                    <w:t>de la Resolución 2388 de 2016 los dos últimos incisos, así:</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“El aportante deberá actualizar ante el operador de información a partir del mes de enero de 2018 toda la información reportada en el archivo tipo 1. El operador de información recordará permanentemente al aportante esta actualización y facilitará los mecanismos para la misma. Esta información deberá ser actualizada anualmente”.</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2. En el numeral 1.1. “</w:t>
                  </w:r>
                  <w:r w:rsidRPr="00667BB9">
                    <w:rPr>
                      <w:rFonts w:ascii="Segoe UI" w:eastAsia="Times New Roman" w:hAnsi="Segoe UI" w:cs="Segoe UI"/>
                      <w:i/>
                      <w:iCs/>
                      <w:sz w:val="24"/>
                      <w:szCs w:val="24"/>
                      <w:lang w:eastAsia="es-CO"/>
                    </w:rPr>
                    <w:t>Estructura de datos archivo tipo 1</w:t>
                  </w:r>
                  <w:r w:rsidRPr="00667BB9">
                    <w:rPr>
                      <w:rFonts w:ascii="Segoe UI" w:eastAsia="Times New Roman" w:hAnsi="Segoe UI" w:cs="Segoe UI"/>
                      <w:sz w:val="24"/>
                      <w:szCs w:val="24"/>
                      <w:lang w:eastAsia="es-CO"/>
                    </w:rPr>
                    <w:t>” del Capítulo 1 “</w:t>
                  </w:r>
                  <w:r w:rsidRPr="00667BB9">
                    <w:rPr>
                      <w:rFonts w:ascii="Segoe UI" w:eastAsia="Times New Roman" w:hAnsi="Segoe UI" w:cs="Segoe UI"/>
                      <w:i/>
                      <w:iCs/>
                      <w:sz w:val="24"/>
                      <w:szCs w:val="24"/>
                      <w:lang w:eastAsia="es-CO"/>
                    </w:rPr>
                    <w:t>Archivos de entrada</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modificar la descripción del campo 33 “</w:t>
                  </w:r>
                  <w:r w:rsidRPr="00667BB9">
                    <w:rPr>
                      <w:rFonts w:ascii="Segoe UI" w:eastAsia="Times New Roman" w:hAnsi="Segoe UI" w:cs="Segoe UI"/>
                      <w:i/>
                      <w:iCs/>
                      <w:sz w:val="24"/>
                      <w:szCs w:val="24"/>
                      <w:lang w:eastAsia="es-CO"/>
                    </w:rPr>
                    <w:t>Aportante exonerado de pago de aporte a salud, SENA e ICBF– Ley 1607 de 2012</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86"/>
                    <w:gridCol w:w="775"/>
                    <w:gridCol w:w="663"/>
                    <w:gridCol w:w="637"/>
                    <w:gridCol w:w="4646"/>
                    <w:gridCol w:w="3129"/>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Inicial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Aportante exonerado de pago de aporte a salud, SENA e 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Obligatorio. Lo suministra el aportante.</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S. Sí</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N. No</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lastRenderedPageBreak/>
                    <w:t>3. En el numeral 2.1.1.2.2 “</w:t>
                  </w:r>
                  <w:r w:rsidRPr="00667BB9">
                    <w:rPr>
                      <w:rFonts w:ascii="Segoe UI" w:eastAsia="Times New Roman" w:hAnsi="Segoe UI" w:cs="Segoe UI"/>
                      <w:i/>
                      <w:iCs/>
                      <w:lang w:eastAsia="es-CO"/>
                    </w:rPr>
                    <w:t>Campo 8. Tipo de planilla</w:t>
                  </w:r>
                  <w:r w:rsidRPr="00667BB9">
                    <w:rPr>
                      <w:rFonts w:ascii="Segoe UI" w:eastAsia="Times New Roman" w:hAnsi="Segoe UI" w:cs="Segoe UI"/>
                      <w:lang w:eastAsia="es-CO"/>
                    </w:rPr>
                    <w:t>” del Capítulo 1 “</w:t>
                  </w:r>
                  <w:r w:rsidRPr="00667BB9">
                    <w:rPr>
                      <w:rFonts w:ascii="Segoe UI" w:eastAsia="Times New Roman" w:hAnsi="Segoe UI" w:cs="Segoe UI"/>
                      <w:i/>
                      <w:iCs/>
                      <w:lang w:eastAsia="es-CO"/>
                    </w:rPr>
                    <w:t>Archivos de entrada</w:t>
                  </w:r>
                  <w:r w:rsidRPr="00667BB9">
                    <w:rPr>
                      <w:rFonts w:ascii="Segoe UI" w:eastAsia="Times New Roman" w:hAnsi="Segoe UI" w:cs="Segoe UI"/>
                      <w:lang w:eastAsia="es-CO"/>
                    </w:rPr>
                    <w:t xml:space="preserve">” del Anexo Técnico 2 </w:t>
                  </w:r>
                  <w:r w:rsidRPr="00667BB9">
                    <w:rPr>
                      <w:rFonts w:ascii="Segoe UI" w:eastAsia="Times New Roman" w:hAnsi="Segoe UI" w:cs="Segoe UI"/>
                      <w:i/>
                      <w:iCs/>
                      <w:lang w:eastAsia="es-CO"/>
                    </w:rPr>
                    <w:t xml:space="preserve">“Aportes a Seguridad Social de Activos” </w:t>
                  </w:r>
                  <w:r w:rsidRPr="00667BB9">
                    <w:rPr>
                      <w:rFonts w:ascii="Segoe UI" w:eastAsia="Times New Roman" w:hAnsi="Segoe UI" w:cs="Segoe UI"/>
                      <w:lang w:eastAsia="es-CO"/>
                    </w:rPr>
                    <w:t>modificar las aclaraciones para el tipo de planilla “</w:t>
                  </w:r>
                  <w:r w:rsidRPr="00667BB9">
                    <w:rPr>
                      <w:rFonts w:ascii="Segoe UI" w:eastAsia="Times New Roman" w:hAnsi="Segoe UI" w:cs="Segoe UI"/>
                      <w:i/>
                      <w:iCs/>
                      <w:lang w:eastAsia="es-CO"/>
                    </w:rPr>
                    <w:t>N. Planilla correcciones”</w:t>
                  </w:r>
                  <w:r w:rsidRPr="00667BB9">
                    <w:rPr>
                      <w:rFonts w:ascii="Segoe UI" w:eastAsia="Times New Roman" w:hAnsi="Segoe UI" w:cs="Segoe UI"/>
                      <w:lang w:eastAsia="es-CO"/>
                    </w:rPr>
                    <w:t>; así:</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bCs/>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bCs/>
                      <w:i/>
                      <w:iCs/>
                      <w:lang w:eastAsia="es-CO"/>
                    </w:rPr>
                    <w:t xml:space="preserve">N. Planilla correcciones: </w:t>
                  </w:r>
                  <w:r w:rsidRPr="00667BB9">
                    <w:rPr>
                      <w:rFonts w:ascii="Segoe UI" w:eastAsia="Times New Roman" w:hAnsi="Segoe UI" w:cs="Segoe UI"/>
                      <w:i/>
                      <w:iCs/>
                      <w:lang w:eastAsia="es-CO"/>
                    </w:rPr>
                    <w:t>Es utilizada en los siguientes casos:</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xml:space="preserve">1. </w:t>
                  </w:r>
                  <w:r w:rsidRPr="00667BB9">
                    <w:rPr>
                      <w:rFonts w:ascii="Segoe UI" w:eastAsia="Times New Roman" w:hAnsi="Segoe UI" w:cs="Segoe UI"/>
                      <w:i/>
                      <w:iCs/>
                      <w:lang w:eastAsia="es-CO"/>
                    </w:rPr>
                    <w:t>Cuando el aportante deba corregir el Ingreso Base de Cotización (IBC); la tarifa; el tipo de cotizante; el subtipo de cotizante; la cotización; las novedades; la exoneración de pago de aportes patronales en salud, SENA e ICBF; la condición de colombiano en el exterior; la condición de extranjero no obligado a cotizar a pensión o días reportados en la planilla inicial de períodos ya vencidos o para el mismo período de liquidación. No se puede utilizar para correcciones que impliquen devolución de valores pagados en exceso.</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xml:space="preserve">2. </w:t>
                  </w:r>
                  <w:r w:rsidRPr="00667BB9">
                    <w:rPr>
                      <w:rFonts w:ascii="Segoe UI" w:eastAsia="Times New Roman" w:hAnsi="Segoe UI" w:cs="Segoe UI"/>
                      <w:i/>
                      <w:iCs/>
                      <w:sz w:val="24"/>
                      <w:szCs w:val="24"/>
                      <w:lang w:eastAsia="es-CO"/>
                    </w:rPr>
                    <w:t>Cuando un tipo de cotizante “3–Independientes” o “16–Independiente agremiado o asociado” haya aportado a los Sistemas Generales de Salud y Pensión y en el transcurso del período por el cual se efectuó el pago de los aportes, deba reportar una novedad de ingreso para el Sistema General de Riesgos Laborales por haber suscrito un contrato de prestación de servicios, tales como contratos civiles, comerciales o administrativos, con una duración superior a un mes, se reportará la información de la siguiente manera y no habrá lugar al pago de intereses de mora:</w:t>
                  </w:r>
                </w:p>
                <w:p w:rsidR="00667BB9" w:rsidRPr="00667BB9" w:rsidRDefault="00667BB9" w:rsidP="00667BB9">
                  <w:pPr>
                    <w:spacing w:after="0" w:line="240" w:lineRule="auto"/>
                    <w:ind w:left="180"/>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87"/>
                    <w:gridCol w:w="2626"/>
                    <w:gridCol w:w="4401"/>
                  </w:tblGrid>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lang w:eastAsia="es-CO"/>
                          </w:rPr>
                          <w:t>Registros tipo 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lang w:eastAsia="es-CO"/>
                          </w:rPr>
                          <w:t>Registros tipo C</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Tipo de cotizante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3 o 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59</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Número de días cotizados al Sistema de Salud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El reportado en la planilla inicial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Los reportados en el registro A</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Número de días cotizados a Sistema de Pensiones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El reportado en la planilla inicial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Los reportados en el registro A</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Número de días cotizados al Sistema de Riesgos Laborales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Número de días cotizados al Sistema de Riesgos Laborales</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IBC Salud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El reportado en la planilla inicial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El reportado en el registro A o el valor ajustado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IBC Pensión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El reportado en la planilla inicial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El mismo de IBC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IBC Riesgos Laborales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El mismo de IBC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Novedad de Ingreso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El reportado en la planilla inicial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R</w:t>
                        </w:r>
                      </w:p>
                    </w:tc>
                  </w:tr>
                </w:tbl>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xml:space="preserve">3. </w:t>
                  </w:r>
                  <w:r w:rsidRPr="00667BB9">
                    <w:rPr>
                      <w:rFonts w:ascii="Segoe UI" w:eastAsia="Times New Roman" w:hAnsi="Segoe UI" w:cs="Segoe UI"/>
                      <w:i/>
                      <w:iCs/>
                      <w:lang w:eastAsia="es-CO"/>
                    </w:rPr>
                    <w:t>Para reportar las novedades de retiro, variación permanente de salario, variación transitoria de salario, suspensión de contrato de trabajo por licencia no remunerada o comisión de servicios, incapacidad temporal por enfermedad general, licencia de maternidad o paternidad, vacaciones, licencia remunerada, incapacidad por accidente de trabajo o enfermedad laboral que fueron omitidas en la planilla inicial y que correspondan al mismo período de liquidación, siempre y cuando la presentación de esta planilla se realice a más tardar el último día hábil del mes en que debe realizar el pago y no habrá lugar al pago de intereses de mora.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xml:space="preserve">4. </w:t>
                  </w:r>
                  <w:r w:rsidRPr="00667BB9">
                    <w:rPr>
                      <w:rFonts w:ascii="Segoe UI" w:eastAsia="Times New Roman" w:hAnsi="Segoe UI" w:cs="Segoe UI"/>
                      <w:i/>
                      <w:iCs/>
                      <w:lang w:eastAsia="es-CO"/>
                    </w:rPr>
                    <w:t>Para el pago realizado por aportantes que retengan las sumas adeudadas por sus contratistas, por inexactitud de aportes al Sistema de Seguridad Social Integral y Parafiscales, durante la ejecución o liquidación del contrato, de conformidad con lo previsto en el artículo 50 de la Ley 789 de 2002 y el artículo 26 de la Ley 1393 de 2010.</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lastRenderedPageBreak/>
                    <w:t>En este caso, el aportante debe corresponder a la entidad contratante y deberá reportar en el registro tipo 2 – ”Descripción detallada de las variables de novedades generales”, del archivo tipo 2, la información del contratista por el cual se realiza la corrección de los aportes al Sistema de Seguridad Social Integral y Parafiscales, así:</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proofErr w:type="gramStart"/>
                  <w:r w:rsidRPr="00667BB9">
                    <w:rPr>
                      <w:rFonts w:ascii="Segoe UI" w:eastAsia="Times New Roman" w:hAnsi="Segoe UI" w:cs="Segoe UI"/>
                      <w:i/>
                      <w:iCs/>
                      <w:lang w:eastAsia="es-CO"/>
                    </w:rPr>
                    <w:t>a</w:t>
                  </w:r>
                  <w:proofErr w:type="gramEnd"/>
                  <w:r w:rsidRPr="00667BB9">
                    <w:rPr>
                      <w:rFonts w:ascii="Segoe UI" w:eastAsia="Times New Roman" w:hAnsi="Segoe UI" w:cs="Segoe UI"/>
                      <w:i/>
                      <w:iCs/>
                      <w:lang w:eastAsia="es-CO"/>
                    </w:rPr>
                    <w:t>) En el registro A se reportará la información de la planilla I – ”Independientes” que pagó el contratista inicialmente.</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b) En el registro C se reportará la información correcta con la que debió aportar el contratista al Sistema de Seguridad Social Integral y Parafiscales.</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En caso de que el operador de información no cuente con la información de la planilla a corregir, solicitará al aportante registrar como mínimo la siguiente información, la cual se utilizará para la generación del registro tipo “1– Encabezado” y del registro tipo “2 –Liquidación detallada de aportes”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4"/>
                      <w:szCs w:val="24"/>
                      <w:lang w:eastAsia="es-CO"/>
                    </w:rPr>
                    <w:t>Información de la planilla a ser corregida</w:t>
                  </w:r>
                </w:p>
                <w:p w:rsidR="00667BB9" w:rsidRPr="00667BB9" w:rsidRDefault="00667BB9" w:rsidP="00667BB9">
                  <w:pPr>
                    <w:spacing w:after="0" w:line="240" w:lineRule="auto"/>
                    <w:ind w:left="180"/>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85"/>
                    <w:gridCol w:w="7663"/>
                  </w:tblGrid>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Campo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Descripción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 – Registro tipo 1,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Tipo documento del aportante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 – Registro tipo 1,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identificación del aportante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 – Registro tipo 1,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Dígito de verificación aportante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15 – Registro tipo 1,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Período de pago para los sistemas diferentes al de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16 – Registro tipo 1,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Período de pago para el sistema de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17 – Registro tipo 1,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radicación o de la Planilla Integrada de Liquidación de Aportes</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18 – Registro tipo 1,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Fecha de pago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33 – Archivo tipo 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Aportante exonerado de pago de aporte a salud, SENA e ICBF</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Tipo documento del cotizante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identificación del cotizante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Tipo cotizante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Subtipo de cotizante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31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Código de la administradora de pensiones a la cual pertenece el afiliado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33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Código EPS o EOC a la cual pertenece el afiliado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35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Código CCF a la cual pertenece el afiliado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36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días cotizados al Sistema General de Pensiones</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37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días cotizados al Sistema General de Seguridad Social en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38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días cotizados al Sistema General de Riesgos Laborales</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39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días cotizados a Cajas de Compensación Familiar</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42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IBC Pensión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43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IBC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44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IBC Riesgos Laborales</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45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IBC CCF</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47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Cotización obligatoria (Sistema General de Pensiones)</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51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Aportes a Fondo de Solidaridad Pensional – Subcuenta de Solidaridad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52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Aportes a Fondo de Solidaridad Pensional – Subcuenta de Subsistencia</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55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Cotización obligatoria (Sistema General de Seguridad Social en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56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de la UPC Adicional (Sistema General de Seguridad Social en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62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Centro de Trabajo código CT</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63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Cotización obligatoria (Sistema General de Riesgos Laborales)</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lastRenderedPageBreak/>
                          <w:t>65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aporte CCF</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67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aporte SENA</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69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aporte ICBF</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71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aporte ESAP</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72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aporte MEN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76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Cotizante exonerado de pago de aporte a salud, SENA e ICBF</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77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Código de la Administradora de Riesgos Laborales – ARL a la cual pertenece el afiliado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78 – Registro tipo 2, Archivo tipo 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Clase de riesgo en la que se encuentra el afiliado</w:t>
                        </w:r>
                      </w:p>
                    </w:tc>
                  </w:tr>
                </w:tbl>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xml:space="preserve">5. </w:t>
                  </w:r>
                  <w:r w:rsidRPr="00667BB9">
                    <w:rPr>
                      <w:rFonts w:ascii="Segoe UI" w:eastAsia="Times New Roman" w:hAnsi="Segoe UI" w:cs="Segoe UI"/>
                      <w:i/>
                      <w:iCs/>
                      <w:sz w:val="24"/>
                      <w:szCs w:val="24"/>
                      <w:lang w:eastAsia="es-CO"/>
                    </w:rPr>
                    <w:t>Para reportar novedades de retiro de los tipos de cotizantes que se señalan a continuación deberán presentarse dentro de los cinco (5) días hábiles siguientes al mes en que se presenta, so pena de que se cause el pago completo de la cotización, de acuerdo con lo establecido en el artículo 2.1.6.3 del Título 6 de la Parte 1 del Libro 2 del Decreto 780 de 2016:</w:t>
                  </w:r>
                </w:p>
                <w:p w:rsidR="00667BB9" w:rsidRPr="00667BB9" w:rsidRDefault="00667BB9" w:rsidP="00667BB9">
                  <w:pPr>
                    <w:spacing w:after="0" w:line="240" w:lineRule="auto"/>
                    <w:ind w:left="180"/>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3"/>
                    <w:gridCol w:w="10411"/>
                  </w:tblGrid>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lang w:eastAsia="es-CO"/>
                          </w:rPr>
                          <w:t>CÓDIGO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lang w:eastAsia="es-CO"/>
                          </w:rPr>
                          <w:t>DESCRIPCIÓN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Independiente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Madre sustituta</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Independiente agremiado o asociado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33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Beneficiario de Fondo de Solidaridad Pensional</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Concejal o edil de Junta Administradora Local del Distrito Capital de Bogotá que percibe honorarios amparado por póliza de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35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Concejal municipal o distrital que percibe honorarios no amparado con póliza en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Concejal municipal o distrital que percibe honorarios no amparado con póliza de salud beneficiario del Fondo de Solidaridad Pensional</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42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Cotizante independiente pago sólo a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43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Cotizante a pensiones con pago por tercero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52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Beneficiario del Mecanismo de Protección al Cesante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53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Afiliado participe</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56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i/>
                            <w:iCs/>
                            <w:sz w:val="20"/>
                            <w:lang w:eastAsia="es-CO"/>
                          </w:rPr>
                          <w:t>Prepensionado</w:t>
                        </w:r>
                        <w:proofErr w:type="spellEnd"/>
                        <w:r w:rsidRPr="00667BB9">
                          <w:rPr>
                            <w:rFonts w:ascii="Segoe UI" w:eastAsia="Times New Roman" w:hAnsi="Segoe UI" w:cs="Segoe UI"/>
                            <w:i/>
                            <w:iCs/>
                            <w:sz w:val="20"/>
                            <w:lang w:eastAsia="es-CO"/>
                          </w:rPr>
                          <w:t xml:space="preserve"> con aporte voluntario a salud</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Independiente con contrato de prestación de servicios superior a 1 mes</w:t>
                        </w:r>
                      </w:p>
                    </w:tc>
                  </w:tr>
                </w:tbl>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xml:space="preserve">6. </w:t>
                  </w:r>
                  <w:r w:rsidRPr="00667BB9">
                    <w:rPr>
                      <w:rFonts w:ascii="Segoe UI" w:eastAsia="Times New Roman" w:hAnsi="Segoe UI" w:cs="Segoe UI"/>
                      <w:i/>
                      <w:iCs/>
                      <w:sz w:val="24"/>
                      <w:szCs w:val="24"/>
                      <w:lang w:eastAsia="es-CO"/>
                    </w:rPr>
                    <w:t>Si se omitió el pago de algún o algunos subsistemas, deberá utilizarse este tipo de planilla (N – Planilla correcciones), en donde en el registro A – reportará los valores que informó en la planilla inicial y en el registro C reportará los valores que informó en la planilla inicial adicionado el o los sistemas que dejó de aportar en la planilla inicial. El operador de información sólo enviará el archivo de salida a la administradora que se está adicionando el sistema faltante en la planilla inicial.</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xml:space="preserve">7. </w:t>
                  </w:r>
                  <w:r w:rsidRPr="00667BB9">
                    <w:rPr>
                      <w:rFonts w:ascii="Segoe UI" w:eastAsia="Times New Roman" w:hAnsi="Segoe UI" w:cs="Segoe UI"/>
                      <w:i/>
                      <w:iCs/>
                      <w:sz w:val="24"/>
                      <w:szCs w:val="24"/>
                      <w:lang w:eastAsia="es-CO"/>
                    </w:rPr>
                    <w:t>Cuando el aportante vaya a realizar el pago de aportes al Sistema de Seguridad Social Integral y Parafiscales en los eventos descritos en los artículos 316, 317, 318 y 320 de la Ley 1819 de 2016. En este caso, el aportante deberá suministrar la siguiente información al operador de información de la PILA:</w:t>
                  </w:r>
                </w:p>
                <w:p w:rsidR="00667BB9" w:rsidRPr="00667BB9" w:rsidRDefault="00667BB9" w:rsidP="00667BB9">
                  <w:pPr>
                    <w:spacing w:after="0" w:line="240" w:lineRule="auto"/>
                    <w:ind w:left="180"/>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6"/>
                    <w:gridCol w:w="631"/>
                    <w:gridCol w:w="672"/>
                    <w:gridCol w:w="7845"/>
                  </w:tblGrid>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lang w:eastAsia="es-CO"/>
                          </w:rPr>
                          <w:t>Dato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lang w:eastAsia="es-CO"/>
                          </w:rPr>
                          <w:t>Tipo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lang w:eastAsia="es-CO"/>
                          </w:rPr>
                          <w:t>Long</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lang w:eastAsia="es-CO"/>
                          </w:rPr>
                          <w:t>Validaciones y origen de los datos</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Indicador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1. Existe actuación administrativa sin beneficios.</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lastRenderedPageBreak/>
                          <w:t xml:space="preserve">2. Los aportantes u obligados con el Sistema de Protección Social, los deudores solidarios del obligado y las administradoras del Sistema de la Protección Social, que por mutuo acuerdo terminen los procesos administrativos de determinación de obligaciones de que trata el numeral 1 del artículo 316 de la Ley 1819 de 2016, tendrán una </w:t>
                        </w:r>
                        <w:r w:rsidRPr="00667BB9">
                          <w:rPr>
                            <w:rFonts w:ascii="Segoe UI" w:eastAsia="Times New Roman" w:hAnsi="Segoe UI" w:cs="Segoe UI"/>
                            <w:b/>
                            <w:bCs/>
                            <w:i/>
                            <w:iCs/>
                            <w:sz w:val="20"/>
                            <w:lang w:eastAsia="es-CO"/>
                          </w:rPr>
                          <w:t xml:space="preserve">exoneración del 80% </w:t>
                        </w:r>
                        <w:r w:rsidRPr="00667BB9">
                          <w:rPr>
                            <w:rFonts w:ascii="Segoe UI" w:eastAsia="Times New Roman" w:hAnsi="Segoe UI" w:cs="Segoe UI"/>
                            <w:i/>
                            <w:iCs/>
                            <w:sz w:val="20"/>
                            <w:lang w:eastAsia="es-CO"/>
                          </w:rPr>
                          <w:t>de los intereses de mora para los subsistemas diferentes a pensiones, siempre y cuando cumplan con las siguientes condiciones:</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 Se les haya notificado antes del 29 de diciembre de 2016, requerimiento para declarar y/o corregir, liquidación oficial, o resolución que decide el recurso de reconsideración.</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b) Paguen hasta el 30 de octubre de 2017 el total de la contribución señalada en dichos actos administrativos, el 100% de los intereses generados con destino al subsistema de Pensiones, el 20% de los intereses generados con destino a los demás subsistemas de la protección social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xml:space="preserve">3. Los aportantes u obligados con el Sistema de Protección Social, que por mutuo acuerdo terminen los procesos administrativos de determinación de obligaciones, de que trata el parágrafo 3 del artículo 316 de la Ley 1819 de 2016, tendrán una </w:t>
                        </w:r>
                        <w:r w:rsidRPr="00667BB9">
                          <w:rPr>
                            <w:rFonts w:ascii="Segoe UI" w:eastAsia="Times New Roman" w:hAnsi="Segoe UI" w:cs="Segoe UI"/>
                            <w:b/>
                            <w:bCs/>
                            <w:i/>
                            <w:iCs/>
                            <w:sz w:val="20"/>
                            <w:lang w:eastAsia="es-CO"/>
                          </w:rPr>
                          <w:t xml:space="preserve">exoneración del 80% </w:t>
                        </w:r>
                        <w:r w:rsidRPr="00667BB9">
                          <w:rPr>
                            <w:rFonts w:ascii="Segoe UI" w:eastAsia="Times New Roman" w:hAnsi="Segoe UI" w:cs="Segoe UI"/>
                            <w:i/>
                            <w:iCs/>
                            <w:sz w:val="20"/>
                            <w:lang w:eastAsia="es-CO"/>
                          </w:rPr>
                          <w:t>de los intereses de mora para los subsistemas diferentes a pensiones, por el término de la liquidación y siempre y cuando cumplan con las siguientes condiciones:</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 Se les haya notificado antes del 29 de diciembre de 2016, requerimiento para declarar y/o corregir, liquidación oficial, o resolución que decide el recurso de reconsideración.</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b) Se encuentren, antes del 29 de diciembre de 2016, en liquidación forzosa administrativa ante una Superintendencia, o en liquidación judicial.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xml:space="preserve">4. Los aportantes u obligados con el Sistema de Protección Social, los deudores solidarios del obligado y las administradoras del Sistema de la Protección Social, que antes del 29 de diciembre de 2016 hayan presentado demandas contra las actuaciones administrativas de determinación y sancionatorias de las contribuciones parafiscales de la Protección Social expedidas por la UGPP, de que trata el numeral 2 del artículo 317 de la Ley 1819 de 2016, tendrán una </w:t>
                        </w:r>
                        <w:r w:rsidRPr="00667BB9">
                          <w:rPr>
                            <w:rFonts w:ascii="Segoe UI" w:eastAsia="Times New Roman" w:hAnsi="Segoe UI" w:cs="Segoe UI"/>
                            <w:b/>
                            <w:bCs/>
                            <w:i/>
                            <w:iCs/>
                            <w:sz w:val="20"/>
                            <w:lang w:eastAsia="es-CO"/>
                          </w:rPr>
                          <w:t xml:space="preserve">exoneración del 30% </w:t>
                        </w:r>
                        <w:r w:rsidRPr="00667BB9">
                          <w:rPr>
                            <w:rFonts w:ascii="Segoe UI" w:eastAsia="Times New Roman" w:hAnsi="Segoe UI" w:cs="Segoe UI"/>
                            <w:i/>
                            <w:iCs/>
                            <w:sz w:val="20"/>
                            <w:lang w:eastAsia="es-CO"/>
                          </w:rPr>
                          <w:t>de los intereses moratorios de los subsistemas diferentes de pensiones, siempre y cuando cumplan con las siguientes condiciones:</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 El proceso contra una liquidación oficial se encuentre en única o primera instancia.</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b) Paguen hasta el 30 de octubre de 2017 el total de la contribución, el 100% de los intereses generados con destino al subsistema de Pensiones y el 70% de los intereses generados con destino a los demás subsistemas de la protección social.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xml:space="preserve">5. </w:t>
                        </w:r>
                        <w:r w:rsidRPr="00667BB9">
                          <w:rPr>
                            <w:rFonts w:ascii="Segoe UI" w:eastAsia="Times New Roman" w:hAnsi="Segoe UI" w:cs="Segoe UI"/>
                            <w:i/>
                            <w:iCs/>
                            <w:sz w:val="20"/>
                            <w:lang w:eastAsia="es-CO"/>
                          </w:rPr>
                          <w:t xml:space="preserve">Los aportantes u obligados con el Sistema de Protección Social, que hayan presentado demandas contra las actuaciones administrativas de determinación y sancionatorias de las contribuciones parafiscales de la Protección Social expedidas por la UGPP, de que trata el parágrafo 6° del artículo 317 de la Ley 1819 de 2016 en concordancia con el numeral 2 del mismo artículo, tendrán una </w:t>
                        </w:r>
                        <w:r w:rsidRPr="00667BB9">
                          <w:rPr>
                            <w:rFonts w:ascii="Segoe UI" w:eastAsia="Times New Roman" w:hAnsi="Segoe UI" w:cs="Segoe UI"/>
                            <w:b/>
                            <w:bCs/>
                            <w:i/>
                            <w:iCs/>
                            <w:sz w:val="20"/>
                            <w:lang w:eastAsia="es-CO"/>
                          </w:rPr>
                          <w:t xml:space="preserve">exoneración del 30% </w:t>
                        </w:r>
                        <w:r w:rsidRPr="00667BB9">
                          <w:rPr>
                            <w:rFonts w:ascii="Segoe UI" w:eastAsia="Times New Roman" w:hAnsi="Segoe UI" w:cs="Segoe UI"/>
                            <w:i/>
                            <w:iCs/>
                            <w:sz w:val="20"/>
                            <w:lang w:eastAsia="es-CO"/>
                          </w:rPr>
                          <w:t>de los intereses moratorios de los subsistemas diferentes de pensiones, siempre y cuando cumplan con las siguientes condiciones:</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 El proceso contra una liquidación oficial se encuentre en única o primera instancia.</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lastRenderedPageBreak/>
                          <w:t>b) Se encuentren, antes del 29 de diciembre de 2016, en liquidación forzosa administrativa ante una Superintendencia, o en liquidación judicial.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xml:space="preserve">6. </w:t>
                        </w:r>
                        <w:r w:rsidRPr="00667BB9">
                          <w:rPr>
                            <w:rFonts w:ascii="Segoe UI" w:eastAsia="Times New Roman" w:hAnsi="Segoe UI" w:cs="Segoe UI"/>
                            <w:i/>
                            <w:iCs/>
                            <w:sz w:val="20"/>
                            <w:lang w:eastAsia="es-CO"/>
                          </w:rPr>
                          <w:t xml:space="preserve">Los aportantes u obligados con el Sistema de Protección Social, los deudores solidarios del obligado y las administradoras del Sistema de la Protección Social, que antes del 29 de diciembre de 2016 hayan presentado demandas contra las actuaciones administrativas de determinación y sancionatorias de las contribuciones parafiscales de la Protección Social expedidas por la UGPP, de que trata el numeral 3 del artículo 317 de la Ley 1819 de 2016, tendrán una </w:t>
                        </w:r>
                        <w:r w:rsidRPr="00667BB9">
                          <w:rPr>
                            <w:rFonts w:ascii="Segoe UI" w:eastAsia="Times New Roman" w:hAnsi="Segoe UI" w:cs="Segoe UI"/>
                            <w:b/>
                            <w:bCs/>
                            <w:i/>
                            <w:iCs/>
                            <w:sz w:val="20"/>
                            <w:lang w:eastAsia="es-CO"/>
                          </w:rPr>
                          <w:t xml:space="preserve">exoneración del 20% </w:t>
                        </w:r>
                        <w:r w:rsidRPr="00667BB9">
                          <w:rPr>
                            <w:rFonts w:ascii="Segoe UI" w:eastAsia="Times New Roman" w:hAnsi="Segoe UI" w:cs="Segoe UI"/>
                            <w:i/>
                            <w:iCs/>
                            <w:sz w:val="20"/>
                            <w:lang w:eastAsia="es-CO"/>
                          </w:rPr>
                          <w:t>de los intereses moratorios de los subsistemas diferentes de pensiones, siempre y cuando cumplan con las siguientes condiciones:</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 El proceso contra una liquidación oficial se encuentre en segunda instancia.</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b) Paguen hasta el 30 de octubre de 2017 el total de la contribución, el 100% de los intereses generados con destino al subsistema de Pensiones y el 80% de los intereses generados con destino a los demás subsistemas de la protección social.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xml:space="preserve">7. </w:t>
                        </w:r>
                        <w:r w:rsidRPr="00667BB9">
                          <w:rPr>
                            <w:rFonts w:ascii="Segoe UI" w:eastAsia="Times New Roman" w:hAnsi="Segoe UI" w:cs="Segoe UI"/>
                            <w:i/>
                            <w:iCs/>
                            <w:sz w:val="20"/>
                            <w:lang w:eastAsia="es-CO"/>
                          </w:rPr>
                          <w:t xml:space="preserve">Los aportantes u obligados con el Sistema de Protección Social, que hayan presentado demandas contra las actuaciones administrativas de determinación y sancionatorias de las contribuciones parafiscales de la Protección Social expedidas por la UGPP, de que trata el parágrafo 6 del artículo 317 de la Ley 1819 de 2016 en concordancia con el numeral 3 del mismo artículo, tendrán una </w:t>
                        </w:r>
                        <w:r w:rsidRPr="00667BB9">
                          <w:rPr>
                            <w:rFonts w:ascii="Segoe UI" w:eastAsia="Times New Roman" w:hAnsi="Segoe UI" w:cs="Segoe UI"/>
                            <w:b/>
                            <w:bCs/>
                            <w:i/>
                            <w:iCs/>
                            <w:sz w:val="20"/>
                            <w:lang w:eastAsia="es-CO"/>
                          </w:rPr>
                          <w:t xml:space="preserve">exoneración del 20% </w:t>
                        </w:r>
                        <w:r w:rsidRPr="00667BB9">
                          <w:rPr>
                            <w:rFonts w:ascii="Segoe UI" w:eastAsia="Times New Roman" w:hAnsi="Segoe UI" w:cs="Segoe UI"/>
                            <w:i/>
                            <w:iCs/>
                            <w:sz w:val="20"/>
                            <w:lang w:eastAsia="es-CO"/>
                          </w:rPr>
                          <w:t>de los intereses moratorios de los subsistemas diferentes de pensiones, siempre y cuando cumplan con las siguientes condiciones:</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 El proceso contra una liquidación oficial se encuentre en segunda instancia.</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b) Se encuentren, antes del 29 de diciembre de 2016, en liquidación forzosa administrativa, o en liquidación judicial.</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lastRenderedPageBreak/>
                          <w:t xml:space="preserve">Número de acto </w:t>
                        </w:r>
                        <w:proofErr w:type="spellStart"/>
                        <w:r w:rsidRPr="00667BB9">
                          <w:rPr>
                            <w:rFonts w:ascii="Segoe UI" w:eastAsia="Times New Roman" w:hAnsi="Segoe UI" w:cs="Segoe UI"/>
                            <w:i/>
                            <w:iCs/>
                            <w:sz w:val="20"/>
                            <w:lang w:eastAsia="es-CO"/>
                          </w:rPr>
                          <w:t>adtvo</w:t>
                        </w:r>
                        <w:proofErr w:type="spellEnd"/>
                        <w:r w:rsidRPr="00667BB9">
                          <w:rPr>
                            <w:rFonts w:ascii="Segoe UI" w:eastAsia="Times New Roman" w:hAnsi="Segoe UI" w:cs="Segoe UI"/>
                            <w:i/>
                            <w:iCs/>
                            <w:sz w:val="20"/>
                            <w:lang w:eastAsia="es-CO"/>
                          </w:rPr>
                          <w:t xml:space="preserve">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Si el valor del “Indicador UGPP” es 1, 2, 3, 4, 5, 6 o 7 el aportante deberá diligenciar en este campo el número del acto administrativo expedido por la UGPP.</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xml:space="preserve">Fecha de la apertura de liquidación forzosa </w:t>
                        </w:r>
                        <w:proofErr w:type="spellStart"/>
                        <w:r w:rsidRPr="00667BB9">
                          <w:rPr>
                            <w:rFonts w:ascii="Segoe UI" w:eastAsia="Times New Roman" w:hAnsi="Segoe UI" w:cs="Segoe UI"/>
                            <w:i/>
                            <w:iCs/>
                            <w:sz w:val="20"/>
                            <w:lang w:eastAsia="es-CO"/>
                          </w:rPr>
                          <w:t>adtva</w:t>
                        </w:r>
                        <w:proofErr w:type="spellEnd"/>
                        <w:r w:rsidRPr="00667BB9">
                          <w:rPr>
                            <w:rFonts w:ascii="Segoe UI" w:eastAsia="Times New Roman" w:hAnsi="Segoe UI" w:cs="Segoe UI"/>
                            <w:i/>
                            <w:iCs/>
                            <w:sz w:val="20"/>
                            <w:lang w:eastAsia="es-CO"/>
                          </w:rPr>
                          <w:t xml:space="preserve"> o judicial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(AAA–MM–DD)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Si el valor del “Indicador UGPP” es 3, 5 o 7, el aportante deberá diligenciar en este campo la fecha de la apertura de la liquidación forzosa administrativa o judicial; de lo contrario, se deja en blanco.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 xml:space="preserve">Nombre de la entidad que adelanta la liquidación forzosa </w:t>
                        </w:r>
                        <w:proofErr w:type="spellStart"/>
                        <w:r w:rsidRPr="00667BB9">
                          <w:rPr>
                            <w:rFonts w:ascii="Segoe UI" w:eastAsia="Times New Roman" w:hAnsi="Segoe UI" w:cs="Segoe UI"/>
                            <w:i/>
                            <w:iCs/>
                            <w:sz w:val="20"/>
                            <w:lang w:eastAsia="es-CO"/>
                          </w:rPr>
                          <w:t>adtva</w:t>
                        </w:r>
                        <w:proofErr w:type="spellEnd"/>
                        <w:r w:rsidRPr="00667BB9">
                          <w:rPr>
                            <w:rFonts w:ascii="Segoe UI" w:eastAsia="Times New Roman" w:hAnsi="Segoe UI" w:cs="Segoe UI"/>
                            <w:i/>
                            <w:iCs/>
                            <w:sz w:val="20"/>
                            <w:lang w:eastAsia="es-CO"/>
                          </w:rPr>
                          <w:t xml:space="preserve"> o judicial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Si el valor del “Indicador UGPP” es 3, 5 o 7, el aportante deberá diligenciar en este campo el nombre de la superintendencia o juzgado que ordena la liquidación forzosa administrativa o judicial.</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Valor pagado por la sanción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Es la suma que el aportante pagó al Tesoro Nacional por concepto de las sanciones determinadas por la UGPP correspondiente al período que se está liquidando y pagando.</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bCs/>
                      <w:lang w:eastAsia="es-CO"/>
                    </w:rPr>
                    <w:t>Disposiciones comunes a la Planilla N – correcciones</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xml:space="preserve">El operador de información deberá validar que los topes mínimos y máximos de los pagos efectuados mediante este tipo de planilla correspondan a los vigentes para la fecha del período que se está liquidando y pagando. Igualmente, deberá </w:t>
                  </w:r>
                  <w:r w:rsidRPr="00667BB9">
                    <w:rPr>
                      <w:rFonts w:ascii="Segoe UI" w:eastAsia="Times New Roman" w:hAnsi="Segoe UI" w:cs="Segoe UI"/>
                      <w:i/>
                      <w:iCs/>
                      <w:lang w:eastAsia="es-CO"/>
                    </w:rPr>
                    <w:lastRenderedPageBreak/>
                    <w:t xml:space="preserve">crear en su página web o en el </w:t>
                  </w:r>
                  <w:proofErr w:type="spellStart"/>
                  <w:r w:rsidRPr="00667BB9">
                    <w:rPr>
                      <w:rFonts w:ascii="Segoe UI" w:eastAsia="Times New Roman" w:hAnsi="Segoe UI" w:cs="Segoe UI"/>
                      <w:i/>
                      <w:iCs/>
                      <w:lang w:eastAsia="es-CO"/>
                    </w:rPr>
                    <w:t>call</w:t>
                  </w:r>
                  <w:proofErr w:type="spellEnd"/>
                  <w:r w:rsidRPr="00667BB9">
                    <w:rPr>
                      <w:rFonts w:ascii="Segoe UI" w:eastAsia="Times New Roman" w:hAnsi="Segoe UI" w:cs="Segoe UI"/>
                      <w:i/>
                      <w:iCs/>
                      <w:lang w:eastAsia="es-CO"/>
                    </w:rPr>
                    <w:t xml:space="preserve"> center, cuando se utilice este mecanismo, o en los otros esquemas de asistencia, un filtro previo al acceso a este tipo de planilla, en el cual el aportante señalará expresamente que se trata de una corrección referida a uno o varios sistemas.</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Los valores así liquidados incluirán los intereses de mora a que haya lugar de acuerdo con los períodos de que se trate, salvo que el aportante certifique al operador de información que las correcciones que está haciendo corresponden a ajustes por retroactivos de aportantes del sector público y que a la fecha en la que se está realizando el pago, no está obligado a pagar intereses de mora de acuerdo con la disposición legal vigente, la cual deberá ser invocada en esta certificación.</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En caso de que el retroactivo se realice para cotizantes que han sido reportados previamente como cotizante “47 –trabajador dependiente de entidad beneficiaria del Sistema General de Participaciones – Aportes patronales”, el aporte adicional se liquidará incluyendo los valores a cargo del cotizante y del empleador, tanto para el Sistema General de Salud como el de Pensiones. El aporte al Sistema General de Salud se depositará en la cuenta maestra de recaudo general de la EPS.</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El aportante deberá diligenciar una planilla de este tipo por cada período que esté corrigiendo, en la cual podrá incluir todos los sistemas que deba pagar.</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Para efectos de tramitar y liquidar correcciones en los factores de cotización, por cotizante se deberá reportar un grupo de registros A e inmediatamente después un grupo de registros C. La sumatoria del IBC de los registros C debe ser mayor o igual a la sumatoria del IBC de los registros A y la sumatoria de los días de los registros C debe ser mayor o igual a la sumatoria de días de los registros A. La sumatoria de los días reportados en los registros tipo C debe ser igual a 30, a menos de que exista una novedad de ingreso o retiro.</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4. En el numeral 2.1.2.1 “</w:t>
                  </w:r>
                  <w:r w:rsidRPr="00667BB9">
                    <w:rPr>
                      <w:rFonts w:ascii="Segoe UI" w:eastAsia="Times New Roman" w:hAnsi="Segoe UI" w:cs="Segoe UI"/>
                      <w:i/>
                      <w:iCs/>
                      <w:sz w:val="24"/>
                      <w:szCs w:val="24"/>
                      <w:lang w:eastAsia="es-CO"/>
                    </w:rPr>
                    <w:t>Descripción detallada de las variables de novedades generales. Registro tipo 2</w:t>
                  </w:r>
                  <w:r w:rsidRPr="00667BB9">
                    <w:rPr>
                      <w:rFonts w:ascii="Segoe UI" w:eastAsia="Times New Roman" w:hAnsi="Segoe UI" w:cs="Segoe UI"/>
                      <w:sz w:val="24"/>
                      <w:szCs w:val="24"/>
                      <w:lang w:eastAsia="es-CO"/>
                    </w:rPr>
                    <w:t>” del Capítulo 1 “</w:t>
                  </w:r>
                  <w:r w:rsidRPr="00667BB9">
                    <w:rPr>
                      <w:rFonts w:ascii="Segoe UI" w:eastAsia="Times New Roman" w:hAnsi="Segoe UI" w:cs="Segoe UI"/>
                      <w:i/>
                      <w:iCs/>
                      <w:sz w:val="24"/>
                      <w:szCs w:val="24"/>
                      <w:lang w:eastAsia="es-CO"/>
                    </w:rPr>
                    <w:t>Archivos de entrada</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modificar la descripción y las validaciones y origen de los datos del campo “</w:t>
                  </w:r>
                  <w:r w:rsidRPr="00667BB9">
                    <w:rPr>
                      <w:rFonts w:ascii="Segoe UI" w:eastAsia="Times New Roman" w:hAnsi="Segoe UI" w:cs="Segoe UI"/>
                      <w:i/>
                      <w:iCs/>
                      <w:sz w:val="24"/>
                      <w:szCs w:val="24"/>
                      <w:lang w:eastAsia="es-CO"/>
                    </w:rPr>
                    <w:t>76 – Cotizante exonerado de pago de aporte salud, SENA e ICBF – Ley 1607 de 2012</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86"/>
                    <w:gridCol w:w="775"/>
                    <w:gridCol w:w="663"/>
                    <w:gridCol w:w="637"/>
                    <w:gridCol w:w="2593"/>
                    <w:gridCol w:w="5182"/>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Inicial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76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506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506</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Cotizante exonerado de pago de aporte salud, SENA e 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Obligatorio. Lo suministra el aportante.</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S = Sí</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N = No</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xml:space="preserve">Cuando el valor del campo 43 – IBC Salud sea igual o superior a 10 </w:t>
                        </w:r>
                        <w:proofErr w:type="spellStart"/>
                        <w:r w:rsidRPr="00667BB9">
                          <w:rPr>
                            <w:rFonts w:ascii="Segoe UI" w:eastAsia="Times New Roman" w:hAnsi="Segoe UI" w:cs="Segoe UI"/>
                            <w:sz w:val="20"/>
                            <w:lang w:eastAsia="es-CO"/>
                          </w:rPr>
                          <w:t>smlmv</w:t>
                        </w:r>
                        <w:proofErr w:type="spellEnd"/>
                        <w:r w:rsidRPr="00667BB9">
                          <w:rPr>
                            <w:rFonts w:ascii="Segoe UI" w:eastAsia="Times New Roman" w:hAnsi="Segoe UI" w:cs="Segoe UI"/>
                            <w:sz w:val="20"/>
                            <w:lang w:eastAsia="es-CO"/>
                          </w:rPr>
                          <w:t xml:space="preserve"> este campo debe ser </w:t>
                        </w:r>
                        <w:r w:rsidRPr="00667BB9">
                          <w:rPr>
                            <w:rFonts w:ascii="Segoe UI" w:eastAsia="Times New Roman" w:hAnsi="Segoe UI" w:cs="Segoe UI"/>
                            <w:b/>
                            <w:bCs/>
                            <w:sz w:val="20"/>
                            <w:lang w:eastAsia="es-CO"/>
                          </w:rPr>
                          <w:t>N</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Obligatorio. Lo suministra el aportante.</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 xml:space="preserve">S </w:t>
                        </w:r>
                        <w:r w:rsidRPr="00667BB9">
                          <w:rPr>
                            <w:rFonts w:ascii="Segoe UI" w:eastAsia="Times New Roman" w:hAnsi="Segoe UI" w:cs="Segoe UI"/>
                            <w:sz w:val="20"/>
                            <w:lang w:eastAsia="es-CO"/>
                          </w:rPr>
                          <w:t>= Sí</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 xml:space="preserve">N </w:t>
                        </w:r>
                        <w:r w:rsidRPr="00667BB9">
                          <w:rPr>
                            <w:rFonts w:ascii="Segoe UI" w:eastAsia="Times New Roman" w:hAnsi="Segoe UI" w:cs="Segoe UI"/>
                            <w:sz w:val="20"/>
                            <w:lang w:eastAsia="es-CO"/>
                          </w:rPr>
                          <w:t>= No</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lastRenderedPageBreak/>
                          <w:t xml:space="preserve">Cuando personas naturales empleen dos o más trabajadores y el valor del campo 43 – IBC Salud sea igual o superior a 10 </w:t>
                        </w:r>
                        <w:proofErr w:type="spellStart"/>
                        <w:r w:rsidRPr="00667BB9">
                          <w:rPr>
                            <w:rFonts w:ascii="Segoe UI" w:eastAsia="Times New Roman" w:hAnsi="Segoe UI" w:cs="Segoe UI"/>
                            <w:sz w:val="20"/>
                            <w:lang w:eastAsia="es-CO"/>
                          </w:rPr>
                          <w:t>smlmv</w:t>
                        </w:r>
                        <w:proofErr w:type="spellEnd"/>
                        <w:r w:rsidRPr="00667BB9">
                          <w:rPr>
                            <w:rFonts w:ascii="Segoe UI" w:eastAsia="Times New Roman" w:hAnsi="Segoe UI" w:cs="Segoe UI"/>
                            <w:sz w:val="20"/>
                            <w:lang w:eastAsia="es-CO"/>
                          </w:rPr>
                          <w:t xml:space="preserve"> este campo debe ser </w:t>
                        </w:r>
                        <w:r w:rsidRPr="00667BB9">
                          <w:rPr>
                            <w:rFonts w:ascii="Segoe UI" w:eastAsia="Times New Roman" w:hAnsi="Segoe UI" w:cs="Segoe UI"/>
                            <w:b/>
                            <w:bCs/>
                            <w:sz w:val="20"/>
                            <w:lang w:eastAsia="es-CO"/>
                          </w:rPr>
                          <w:t>N</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lastRenderedPageBreak/>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5. En el numeral 2.1.2.3.31 “</w:t>
                  </w:r>
                  <w:r w:rsidRPr="00667BB9">
                    <w:rPr>
                      <w:rFonts w:ascii="Segoe UI" w:eastAsia="Times New Roman" w:hAnsi="Segoe UI" w:cs="Segoe UI"/>
                      <w:i/>
                      <w:iCs/>
                      <w:sz w:val="24"/>
                      <w:szCs w:val="24"/>
                      <w:lang w:eastAsia="es-CO"/>
                    </w:rPr>
                    <w:t>Campo 66 – Tarifa de aportes SENA</w:t>
                  </w:r>
                  <w:r w:rsidRPr="00667BB9">
                    <w:rPr>
                      <w:rFonts w:ascii="Segoe UI" w:eastAsia="Times New Roman" w:hAnsi="Segoe UI" w:cs="Segoe UI"/>
                      <w:sz w:val="24"/>
                      <w:szCs w:val="24"/>
                      <w:lang w:eastAsia="es-CO"/>
                    </w:rPr>
                    <w:t>” del Capítulo 1 “</w:t>
                  </w:r>
                  <w:r w:rsidRPr="00667BB9">
                    <w:rPr>
                      <w:rFonts w:ascii="Segoe UI" w:eastAsia="Times New Roman" w:hAnsi="Segoe UI" w:cs="Segoe UI"/>
                      <w:i/>
                      <w:iCs/>
                      <w:sz w:val="24"/>
                      <w:szCs w:val="24"/>
                      <w:lang w:eastAsia="es-CO"/>
                    </w:rPr>
                    <w:t>Archivos de entrada</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modificar las aclaraciones de este campo; así:</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“Los valores válidos son los legalmente vigentes para el período que se está pagando. Sólo se permite cero (0), si el tipo de cotizante no es obligado a cotizar al SENA.</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xml:space="preserve">La tarifa para las instituciones de educación superior públicas debe ser cero (0) de acuerdo con lo establecido en el parágrafo 5º del </w:t>
                  </w:r>
                  <w:hyperlink r:id="rId8" w:tooltip="Estatuto Tributario CETA" w:history="1">
                    <w:r w:rsidRPr="00667BB9">
                      <w:rPr>
                        <w:rFonts w:ascii="Segoe UI" w:eastAsia="Times New Roman" w:hAnsi="Segoe UI" w:cs="Segoe UI"/>
                        <w:i/>
                        <w:iCs/>
                        <w:color w:val="0000FF"/>
                        <w:sz w:val="24"/>
                        <w:szCs w:val="24"/>
                        <w:u w:val="single"/>
                        <w:lang w:eastAsia="es-CO"/>
                      </w:rPr>
                      <w:t>artículo 114-1</w:t>
                    </w:r>
                  </w:hyperlink>
                  <w:r w:rsidRPr="00667BB9">
                    <w:rPr>
                      <w:rFonts w:ascii="Segoe UI" w:eastAsia="Times New Roman" w:hAnsi="Segoe UI" w:cs="Segoe UI"/>
                      <w:i/>
                      <w:iCs/>
                      <w:sz w:val="24"/>
                      <w:szCs w:val="24"/>
                      <w:lang w:eastAsia="es-CO"/>
                    </w:rPr>
                    <w:t xml:space="preserve"> del Estatuto Tributario, modificado por el artículo 65 de la Ley 1819 de 2016.</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6. En el numeral 2.1.2.3.39 “</w:t>
                  </w:r>
                  <w:r w:rsidRPr="00667BB9">
                    <w:rPr>
                      <w:rFonts w:ascii="Segoe UI" w:eastAsia="Times New Roman" w:hAnsi="Segoe UI" w:cs="Segoe UI"/>
                      <w:i/>
                      <w:iCs/>
                      <w:sz w:val="24"/>
                      <w:szCs w:val="24"/>
                      <w:lang w:eastAsia="es-CO"/>
                    </w:rPr>
                    <w:t>Campo 76 – Cotizante exonerado de pago de aportes a salud, SENA e ICBF – Ley 1607 de 2012</w:t>
                  </w:r>
                  <w:r w:rsidRPr="00667BB9">
                    <w:rPr>
                      <w:rFonts w:ascii="Segoe UI" w:eastAsia="Times New Roman" w:hAnsi="Segoe UI" w:cs="Segoe UI"/>
                      <w:sz w:val="24"/>
                      <w:szCs w:val="24"/>
                      <w:lang w:eastAsia="es-CO"/>
                    </w:rPr>
                    <w:t>” del Capítulo 1 “</w:t>
                  </w:r>
                  <w:r w:rsidRPr="00667BB9">
                    <w:rPr>
                      <w:rFonts w:ascii="Segoe UI" w:eastAsia="Times New Roman" w:hAnsi="Segoe UI" w:cs="Segoe UI"/>
                      <w:i/>
                      <w:iCs/>
                      <w:sz w:val="24"/>
                      <w:szCs w:val="24"/>
                      <w:lang w:eastAsia="es-CO"/>
                    </w:rPr>
                    <w:t>Archivos de entrada</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modificar las aclaraciones de este campo; así:</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w:t>
                  </w:r>
                  <w:r w:rsidRPr="00667BB9">
                    <w:rPr>
                      <w:rFonts w:ascii="Segoe UI" w:eastAsia="Times New Roman" w:hAnsi="Segoe UI" w:cs="Segoe UI"/>
                      <w:b/>
                      <w:bCs/>
                      <w:sz w:val="24"/>
                      <w:szCs w:val="24"/>
                      <w:lang w:eastAsia="es-CO"/>
                    </w:rPr>
                    <w:t xml:space="preserve">2.1.2.3.39 </w:t>
                  </w:r>
                  <w:r w:rsidRPr="00667BB9">
                    <w:rPr>
                      <w:rFonts w:ascii="Segoe UI" w:eastAsia="Times New Roman" w:hAnsi="Segoe UI" w:cs="Segoe UI"/>
                      <w:b/>
                      <w:bCs/>
                      <w:i/>
                      <w:iCs/>
                      <w:sz w:val="24"/>
                      <w:szCs w:val="24"/>
                      <w:lang w:eastAsia="es-CO"/>
                    </w:rPr>
                    <w:t>Campo 76 – Cotizante exonerado de pago de aportes a salud, SENA e ICBF.</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El valor “S” en este campo podrá ser diligenciado cuando el campo 33 – “Aportante exonerado de pago de aportes a Salud, SENA e ICBF” del archivo tipo 1, haya sido diligenciado con “S” de acuerdo con lo establecido en el artículo 65 de la Ley 1819 de 2016.</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xml:space="preserve">Cuando el valor del campo 43 – IBC Salud sea igual o superior a 10 </w:t>
                  </w:r>
                  <w:proofErr w:type="spellStart"/>
                  <w:r w:rsidRPr="00667BB9">
                    <w:rPr>
                      <w:rFonts w:ascii="Segoe UI" w:eastAsia="Times New Roman" w:hAnsi="Segoe UI" w:cs="Segoe UI"/>
                      <w:i/>
                      <w:iCs/>
                      <w:sz w:val="24"/>
                      <w:szCs w:val="24"/>
                      <w:lang w:eastAsia="es-CO"/>
                    </w:rPr>
                    <w:t>smlmv</w:t>
                  </w:r>
                  <w:proofErr w:type="spellEnd"/>
                  <w:r w:rsidRPr="00667BB9">
                    <w:rPr>
                      <w:rFonts w:ascii="Segoe UI" w:eastAsia="Times New Roman" w:hAnsi="Segoe UI" w:cs="Segoe UI"/>
                      <w:i/>
                      <w:iCs/>
                      <w:sz w:val="24"/>
                      <w:szCs w:val="24"/>
                      <w:lang w:eastAsia="es-CO"/>
                    </w:rPr>
                    <w:t xml:space="preserve"> este campo debe ser N.</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Cuando personas naturales empleen dos o más trabajadores y el valor del campo 43 – IBC Salud sea igual o superior a 10 SMLMV este campo debe ser N”</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xml:space="preserve">7. En 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 Capítulo 3. “</w:t>
                  </w:r>
                  <w:r w:rsidRPr="00667BB9">
                    <w:rPr>
                      <w:rFonts w:ascii="Segoe UI" w:eastAsia="Times New Roman" w:hAnsi="Segoe UI" w:cs="Segoe UI"/>
                      <w:i/>
                      <w:iCs/>
                      <w:sz w:val="24"/>
                      <w:szCs w:val="24"/>
                      <w:lang w:eastAsia="es-CO"/>
                    </w:rPr>
                    <w:t xml:space="preserve">Archivos de salida generados por los operadores de información a las administradoras” </w:t>
                  </w:r>
                  <w:r w:rsidRPr="00667BB9">
                    <w:rPr>
                      <w:rFonts w:ascii="Segoe UI" w:eastAsia="Times New Roman" w:hAnsi="Segoe UI" w:cs="Segoe UI"/>
                      <w:sz w:val="24"/>
                      <w:szCs w:val="24"/>
                      <w:lang w:eastAsia="es-CO"/>
                    </w:rPr>
                    <w:t>adicionar el Registro de Salida Tipo 4. “</w:t>
                  </w:r>
                  <w:r w:rsidRPr="00667BB9">
                    <w:rPr>
                      <w:rFonts w:ascii="Segoe UI" w:eastAsia="Times New Roman" w:hAnsi="Segoe UI" w:cs="Segoe UI"/>
                      <w:i/>
                      <w:iCs/>
                      <w:sz w:val="24"/>
                      <w:szCs w:val="24"/>
                      <w:lang w:eastAsia="es-CO"/>
                    </w:rPr>
                    <w:t>Datos Adicionales</w:t>
                  </w:r>
                  <w:r w:rsidRPr="00667BB9">
                    <w:rPr>
                      <w:rFonts w:ascii="Segoe UI" w:eastAsia="Times New Roman" w:hAnsi="Segoe UI" w:cs="Segoe UI"/>
                      <w:sz w:val="24"/>
                      <w:szCs w:val="24"/>
                      <w:lang w:eastAsia="es-CO"/>
                    </w:rPr>
                    <w:t>”, así:</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sz w:val="24"/>
                      <w:szCs w:val="24"/>
                      <w:lang w:eastAsia="es-CO"/>
                    </w:rPr>
                    <w:t>“Registro de salida tipo 4 datos adicionales:</w:t>
                  </w:r>
                  <w:r w:rsidRPr="00667BB9">
                    <w:rPr>
                      <w:rFonts w:ascii="Segoe UI" w:eastAsia="Times New Roman" w:hAnsi="Segoe UI" w:cs="Segoe UI"/>
                      <w:i/>
                      <w:iCs/>
                      <w:sz w:val="24"/>
                      <w:szCs w:val="24"/>
                      <w:lang w:eastAsia="es-CO"/>
                    </w:rPr>
                    <w:t xml:space="preserve"> Este registro se generará cuando se haya realizado el pago de aportes al Sistema de Seguridad Social Integral y Parafiscales de aportantes que se encuentren en los eventos descritos en los artículos 316, 317, 318 y 320 de la Ley 1819 de 2016 y se hubiese informado de esta situación al operador de información durante el trámite de la planilla de corrección N.”.</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lastRenderedPageBreak/>
                    <w:t xml:space="preserve">8. En 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xml:space="preserve">”- Capítulo 3. </w:t>
                  </w:r>
                  <w:r w:rsidRPr="00667BB9">
                    <w:rPr>
                      <w:rFonts w:ascii="Segoe UI" w:eastAsia="Times New Roman" w:hAnsi="Segoe UI" w:cs="Segoe UI"/>
                      <w:i/>
                      <w:iCs/>
                      <w:sz w:val="24"/>
                      <w:szCs w:val="24"/>
                      <w:lang w:eastAsia="es-CO"/>
                    </w:rPr>
                    <w:t>“Archivos de salida generados por los operadores de información a las administradoras</w:t>
                  </w:r>
                  <w:r w:rsidRPr="00667BB9">
                    <w:rPr>
                      <w:rFonts w:ascii="Segoe UI" w:eastAsia="Times New Roman" w:hAnsi="Segoe UI" w:cs="Segoe UI"/>
                      <w:sz w:val="24"/>
                      <w:szCs w:val="24"/>
                      <w:lang w:eastAsia="es-CO"/>
                    </w:rPr>
                    <w:t xml:space="preserve">” adicionar el numeral 2.4 Registro de Salida Tipo 4. </w:t>
                  </w:r>
                  <w:r w:rsidRPr="00667BB9">
                    <w:rPr>
                      <w:rFonts w:ascii="Segoe UI" w:eastAsia="Times New Roman" w:hAnsi="Segoe UI" w:cs="Segoe UI"/>
                      <w:i/>
                      <w:iCs/>
                      <w:sz w:val="24"/>
                      <w:szCs w:val="24"/>
                      <w:lang w:eastAsia="es-CO"/>
                    </w:rPr>
                    <w:t xml:space="preserve">“Datos adicionales para Sistema de Salud “, </w:t>
                  </w:r>
                  <w:r w:rsidRPr="00667BB9">
                    <w:rPr>
                      <w:rFonts w:ascii="Segoe UI" w:eastAsia="Times New Roman" w:hAnsi="Segoe UI" w:cs="Segoe UI"/>
                      <w:sz w:val="24"/>
                      <w:szCs w:val="24"/>
                      <w:lang w:eastAsia="es-CO"/>
                    </w:rPr>
                    <w:t>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72"/>
                    <w:gridCol w:w="555"/>
                    <w:gridCol w:w="686"/>
                    <w:gridCol w:w="631"/>
                    <w:gridCol w:w="3566"/>
                    <w:gridCol w:w="4426"/>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i/>
                            <w:iCs/>
                            <w:sz w:val="20"/>
                            <w:szCs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Tipo de registro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Debe ser 4 para este caso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Indicador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acto administrativo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Fecha de apertura de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(AAA-MM-DD)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la reportada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Nombre de la entidad que adelanta la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pagado por la sanción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xml:space="preserve">9. En 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xml:space="preserve">” - Capítulo 3. </w:t>
                  </w:r>
                  <w:r w:rsidRPr="00667BB9">
                    <w:rPr>
                      <w:rFonts w:ascii="Segoe UI" w:eastAsia="Times New Roman" w:hAnsi="Segoe UI" w:cs="Segoe UI"/>
                      <w:i/>
                      <w:iCs/>
                      <w:sz w:val="24"/>
                      <w:szCs w:val="24"/>
                      <w:lang w:eastAsia="es-CO"/>
                    </w:rPr>
                    <w:t xml:space="preserve">“Archivos de salida generados por los operadores de información a las administradoras” </w:t>
                  </w:r>
                  <w:r w:rsidRPr="00667BB9">
                    <w:rPr>
                      <w:rFonts w:ascii="Segoe UI" w:eastAsia="Times New Roman" w:hAnsi="Segoe UI" w:cs="Segoe UI"/>
                      <w:sz w:val="24"/>
                      <w:szCs w:val="24"/>
                      <w:lang w:eastAsia="es-CO"/>
                    </w:rPr>
                    <w:t>adicionar el numeral 3.4 Registro de Salida Tipo 4. “</w:t>
                  </w:r>
                  <w:r w:rsidRPr="00667BB9">
                    <w:rPr>
                      <w:rFonts w:ascii="Segoe UI" w:eastAsia="Times New Roman" w:hAnsi="Segoe UI" w:cs="Segoe UI"/>
                      <w:i/>
                      <w:iCs/>
                      <w:sz w:val="24"/>
                      <w:szCs w:val="24"/>
                      <w:lang w:eastAsia="es-CO"/>
                    </w:rPr>
                    <w:t>Datos adicionales Sistema de Riesgos Laborales</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72"/>
                    <w:gridCol w:w="555"/>
                    <w:gridCol w:w="686"/>
                    <w:gridCol w:w="631"/>
                    <w:gridCol w:w="3566"/>
                    <w:gridCol w:w="4426"/>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i/>
                            <w:iCs/>
                            <w:sz w:val="20"/>
                            <w:szCs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Tipo de registro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Debe ser 4 para este caso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Indicador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acto administrativo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Fecha de apertura de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(AAA-MM-DD)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la reportada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Nombre de la entidad que adelanta la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lastRenderedPageBreak/>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Valor pagado por la sanción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lang w:eastAsia="es-CO"/>
                          </w:rPr>
                          <w:t>Es el reportado por el aportante al operador de información al diligenciar la planilla de corrección N</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10. En el Anexo Técnico 2 “</w:t>
                  </w:r>
                  <w:r w:rsidRPr="00667BB9">
                    <w:rPr>
                      <w:rFonts w:ascii="Segoe UI" w:eastAsia="Times New Roman" w:hAnsi="Segoe UI" w:cs="Segoe UI"/>
                      <w:i/>
                      <w:iCs/>
                      <w:sz w:val="24"/>
                      <w:szCs w:val="24"/>
                      <w:lang w:eastAsia="es-CO"/>
                    </w:rPr>
                    <w:t xml:space="preserve">Aportes a Seguridad Social de Activos” </w:t>
                  </w:r>
                  <w:r w:rsidRPr="00667BB9">
                    <w:rPr>
                      <w:rFonts w:ascii="Segoe UI" w:eastAsia="Times New Roman" w:hAnsi="Segoe UI" w:cs="Segoe UI"/>
                      <w:sz w:val="24"/>
                      <w:szCs w:val="24"/>
                      <w:lang w:eastAsia="es-CO"/>
                    </w:rPr>
                    <w:t xml:space="preserve">- Capítulo 3. </w:t>
                  </w:r>
                  <w:r w:rsidRPr="00667BB9">
                    <w:rPr>
                      <w:rFonts w:ascii="Segoe UI" w:eastAsia="Times New Roman" w:hAnsi="Segoe UI" w:cs="Segoe UI"/>
                      <w:i/>
                      <w:iCs/>
                      <w:sz w:val="24"/>
                      <w:szCs w:val="24"/>
                      <w:lang w:eastAsia="es-CO"/>
                    </w:rPr>
                    <w:t xml:space="preserve">“Archivos de salida generados por los operadores de información a las administradoras” </w:t>
                  </w:r>
                  <w:r w:rsidRPr="00667BB9">
                    <w:rPr>
                      <w:rFonts w:ascii="Segoe UI" w:eastAsia="Times New Roman" w:hAnsi="Segoe UI" w:cs="Segoe UI"/>
                      <w:sz w:val="24"/>
                      <w:szCs w:val="24"/>
                      <w:lang w:eastAsia="es-CO"/>
                    </w:rPr>
                    <w:t xml:space="preserve">adicionar el numeral 4.4 Registro de Salida Tipo 4. </w:t>
                  </w:r>
                  <w:r w:rsidRPr="00667BB9">
                    <w:rPr>
                      <w:rFonts w:ascii="Segoe UI" w:eastAsia="Times New Roman" w:hAnsi="Segoe UI" w:cs="Segoe UI"/>
                      <w:i/>
                      <w:iCs/>
                      <w:sz w:val="24"/>
                      <w:szCs w:val="24"/>
                      <w:lang w:eastAsia="es-CO"/>
                    </w:rPr>
                    <w:t>“Datos adicionales Cajas de Compensación Familiar”</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72"/>
                    <w:gridCol w:w="555"/>
                    <w:gridCol w:w="686"/>
                    <w:gridCol w:w="631"/>
                    <w:gridCol w:w="3566"/>
                    <w:gridCol w:w="4426"/>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i/>
                            <w:iCs/>
                            <w:sz w:val="20"/>
                            <w:szCs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Tipo de registro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Debe ser 4 para este caso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Indicador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acto administrativo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Fecha de apertura de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(AAA-MM-DD)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la reportada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Nombre de la entidad que adelanta la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pagado por la sanción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11. En el numeral 5.1. “</w:t>
                  </w:r>
                  <w:r w:rsidRPr="00667BB9">
                    <w:rPr>
                      <w:rFonts w:ascii="Segoe UI" w:eastAsia="Times New Roman" w:hAnsi="Segoe UI" w:cs="Segoe UI"/>
                      <w:i/>
                      <w:iCs/>
                      <w:sz w:val="24"/>
                      <w:szCs w:val="24"/>
                      <w:lang w:eastAsia="es-CO"/>
                    </w:rPr>
                    <w:t>Registro de salida tipo 1. Encabezado</w:t>
                  </w:r>
                  <w:r w:rsidRPr="00667BB9">
                    <w:rPr>
                      <w:rFonts w:ascii="Segoe UI" w:eastAsia="Times New Roman" w:hAnsi="Segoe UI" w:cs="Segoe UI"/>
                      <w:sz w:val="24"/>
                      <w:szCs w:val="24"/>
                      <w:lang w:eastAsia="es-CO"/>
                    </w:rPr>
                    <w:t>” del Capítulo 3 “</w:t>
                  </w:r>
                  <w:r w:rsidRPr="00667BB9">
                    <w:rPr>
                      <w:rFonts w:ascii="Segoe UI" w:eastAsia="Times New Roman" w:hAnsi="Segoe UI" w:cs="Segoe UI"/>
                      <w:i/>
                      <w:iCs/>
                      <w:sz w:val="24"/>
                      <w:szCs w:val="24"/>
                      <w:lang w:eastAsia="es-CO"/>
                    </w:rPr>
                    <w:t>Archivos de salida generados por los operadores de información a las administradoras</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xml:space="preserve">”; modificar la descripción del campo </w:t>
                  </w:r>
                  <w:r w:rsidRPr="00667BB9">
                    <w:rPr>
                      <w:rFonts w:ascii="Segoe UI" w:eastAsia="Times New Roman" w:hAnsi="Segoe UI" w:cs="Segoe UI"/>
                      <w:i/>
                      <w:iCs/>
                      <w:sz w:val="24"/>
                      <w:szCs w:val="24"/>
                      <w:lang w:eastAsia="es-CO"/>
                    </w:rPr>
                    <w:t>“34- Aportante exonerado de pago de aporte de salud, SENA e ICBF - Ley 1607 de 2012”</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86"/>
                    <w:gridCol w:w="554"/>
                    <w:gridCol w:w="663"/>
                    <w:gridCol w:w="637"/>
                    <w:gridCol w:w="4769"/>
                    <w:gridCol w:w="3227"/>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sz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Aportante exonerado de pago de aporte de salud, SENA e 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Tomado del campo 33 del archivo tipo 1</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12. En el numeral 5.2. “</w:t>
                  </w:r>
                  <w:r w:rsidRPr="00667BB9">
                    <w:rPr>
                      <w:rFonts w:ascii="Segoe UI" w:eastAsia="Times New Roman" w:hAnsi="Segoe UI" w:cs="Segoe UI"/>
                      <w:i/>
                      <w:iCs/>
                      <w:sz w:val="24"/>
                      <w:szCs w:val="24"/>
                      <w:lang w:eastAsia="es-CO"/>
                    </w:rPr>
                    <w:t xml:space="preserve">Registro de salida tipo 2. Liquidación detallada” </w:t>
                  </w:r>
                  <w:r w:rsidRPr="00667BB9">
                    <w:rPr>
                      <w:rFonts w:ascii="Segoe UI" w:eastAsia="Times New Roman" w:hAnsi="Segoe UI" w:cs="Segoe UI"/>
                      <w:sz w:val="24"/>
                      <w:szCs w:val="24"/>
                      <w:lang w:eastAsia="es-CO"/>
                    </w:rPr>
                    <w:t>del Capítulo 3 “</w:t>
                  </w:r>
                  <w:r w:rsidRPr="00667BB9">
                    <w:rPr>
                      <w:rFonts w:ascii="Segoe UI" w:eastAsia="Times New Roman" w:hAnsi="Segoe UI" w:cs="Segoe UI"/>
                      <w:i/>
                      <w:iCs/>
                      <w:sz w:val="24"/>
                      <w:szCs w:val="24"/>
                      <w:lang w:eastAsia="es-CO"/>
                    </w:rPr>
                    <w:t>Archivos de salida generados por los operadores de información a las administradoras</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 xml:space="preserve">Aportes a Seguridad </w:t>
                  </w:r>
                  <w:r w:rsidRPr="00667BB9">
                    <w:rPr>
                      <w:rFonts w:ascii="Segoe UI" w:eastAsia="Times New Roman" w:hAnsi="Segoe UI" w:cs="Segoe UI"/>
                      <w:i/>
                      <w:iCs/>
                      <w:sz w:val="24"/>
                      <w:szCs w:val="24"/>
                      <w:lang w:eastAsia="es-CO"/>
                    </w:rPr>
                    <w:lastRenderedPageBreak/>
                    <w:t>Social de Activos</w:t>
                  </w:r>
                  <w:r w:rsidRPr="00667BB9">
                    <w:rPr>
                      <w:rFonts w:ascii="Segoe UI" w:eastAsia="Times New Roman" w:hAnsi="Segoe UI" w:cs="Segoe UI"/>
                      <w:sz w:val="24"/>
                      <w:szCs w:val="24"/>
                      <w:lang w:eastAsia="es-CO"/>
                    </w:rPr>
                    <w:t xml:space="preserve">”; modificar la descripción del campo </w:t>
                  </w:r>
                  <w:r w:rsidRPr="00667BB9">
                    <w:rPr>
                      <w:rFonts w:ascii="Segoe UI" w:eastAsia="Times New Roman" w:hAnsi="Segoe UI" w:cs="Segoe UI"/>
                      <w:i/>
                      <w:iCs/>
                      <w:sz w:val="24"/>
                      <w:szCs w:val="24"/>
                      <w:lang w:eastAsia="es-CO"/>
                    </w:rPr>
                    <w:t>“31- Aportante exonerado de pago de aporte de salud, SENA e ICBF - Ley 1607 de 2012”</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86"/>
                    <w:gridCol w:w="554"/>
                    <w:gridCol w:w="663"/>
                    <w:gridCol w:w="637"/>
                    <w:gridCol w:w="3930"/>
                    <w:gridCol w:w="4066"/>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sz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31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184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Cotizante exonerado de pago de aporte de salud, SENA e 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El registrado en el campo 76 del registro tipo 2 del archivo tipo 2</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13. En el Capítulo 3. “</w:t>
                  </w:r>
                  <w:r w:rsidRPr="00667BB9">
                    <w:rPr>
                      <w:rFonts w:ascii="Segoe UI" w:eastAsia="Times New Roman" w:hAnsi="Segoe UI" w:cs="Segoe UI"/>
                      <w:i/>
                      <w:iCs/>
                      <w:sz w:val="24"/>
                      <w:szCs w:val="24"/>
                      <w:lang w:eastAsia="es-CO"/>
                    </w:rPr>
                    <w:t xml:space="preserve">archivos de salida generados por los operadores de información a las administradoras” </w:t>
                  </w:r>
                  <w:r w:rsidRPr="00667BB9">
                    <w:rPr>
                      <w:rFonts w:ascii="Segoe UI" w:eastAsia="Times New Roman" w:hAnsi="Segoe UI" w:cs="Segoe UI"/>
                      <w:sz w:val="24"/>
                      <w:szCs w:val="24"/>
                      <w:lang w:eastAsia="es-CO"/>
                    </w:rPr>
                    <w:t>adicionar el numeral 5.4 Registro de Salida Tipo 4. “</w:t>
                  </w:r>
                  <w:r w:rsidRPr="00667BB9">
                    <w:rPr>
                      <w:rFonts w:ascii="Segoe UI" w:eastAsia="Times New Roman" w:hAnsi="Segoe UI" w:cs="Segoe UI"/>
                      <w:i/>
                      <w:iCs/>
                      <w:sz w:val="24"/>
                      <w:szCs w:val="24"/>
                      <w:lang w:eastAsia="es-CO"/>
                    </w:rPr>
                    <w:t>Datos Adicionales para SENA e ICBF”</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72"/>
                    <w:gridCol w:w="555"/>
                    <w:gridCol w:w="686"/>
                    <w:gridCol w:w="631"/>
                    <w:gridCol w:w="3566"/>
                    <w:gridCol w:w="4426"/>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i/>
                            <w:iCs/>
                            <w:sz w:val="20"/>
                            <w:szCs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iCs/>
                            <w:sz w:val="20"/>
                            <w:szCs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Tipo de registro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Debe ser 4 para este caso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Indicador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acto administrativo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Fecha de apertura de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(AAA-MM-DD)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la reportada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Nombre de la entidad que adelanta la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pagado por la sanción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14. En el numeral 10 “</w:t>
                  </w:r>
                  <w:r w:rsidRPr="00667BB9">
                    <w:rPr>
                      <w:rFonts w:ascii="Segoe UI" w:eastAsia="Times New Roman" w:hAnsi="Segoe UI" w:cs="Segoe UI"/>
                      <w:i/>
                      <w:iCs/>
                      <w:sz w:val="24"/>
                      <w:szCs w:val="24"/>
                      <w:lang w:eastAsia="es-CO"/>
                    </w:rPr>
                    <w:t xml:space="preserve">relación tipo de cotizante vs. </w:t>
                  </w:r>
                  <w:proofErr w:type="gramStart"/>
                  <w:r w:rsidRPr="00667BB9">
                    <w:rPr>
                      <w:rFonts w:ascii="Segoe UI" w:eastAsia="Times New Roman" w:hAnsi="Segoe UI" w:cs="Segoe UI"/>
                      <w:i/>
                      <w:iCs/>
                      <w:sz w:val="24"/>
                      <w:szCs w:val="24"/>
                      <w:lang w:eastAsia="es-CO"/>
                    </w:rPr>
                    <w:t>tipo</w:t>
                  </w:r>
                  <w:proofErr w:type="gramEnd"/>
                  <w:r w:rsidRPr="00667BB9">
                    <w:rPr>
                      <w:rFonts w:ascii="Segoe UI" w:eastAsia="Times New Roman" w:hAnsi="Segoe UI" w:cs="Segoe UI"/>
                      <w:i/>
                      <w:iCs/>
                      <w:sz w:val="24"/>
                      <w:szCs w:val="24"/>
                      <w:lang w:eastAsia="es-CO"/>
                    </w:rPr>
                    <w:t xml:space="preserve"> de subsistema al que aporta” </w:t>
                  </w:r>
                  <w:r w:rsidRPr="00667BB9">
                    <w:rPr>
                      <w:rFonts w:ascii="Segoe UI" w:eastAsia="Times New Roman" w:hAnsi="Segoe UI" w:cs="Segoe UI"/>
                      <w:sz w:val="24"/>
                      <w:szCs w:val="24"/>
                      <w:lang w:eastAsia="es-CO"/>
                    </w:rPr>
                    <w:t>del capítulo 4 “</w:t>
                  </w:r>
                  <w:r w:rsidRPr="00667BB9">
                    <w:rPr>
                      <w:rFonts w:ascii="Segoe UI" w:eastAsia="Times New Roman" w:hAnsi="Segoe UI" w:cs="Segoe UI"/>
                      <w:i/>
                      <w:iCs/>
                      <w:sz w:val="24"/>
                      <w:szCs w:val="24"/>
                      <w:lang w:eastAsia="es-CO"/>
                    </w:rPr>
                    <w:t>validación coherencia datos</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modificar el tipo de cotizante dependiente de la Tabla 17. R10- Regla de validación - Tipo de cotizante vs. Subsistema al que aporta,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1280"/>
                    <w:gridCol w:w="864"/>
                    <w:gridCol w:w="1089"/>
                    <w:gridCol w:w="590"/>
                    <w:gridCol w:w="570"/>
                    <w:gridCol w:w="734"/>
                    <w:gridCol w:w="637"/>
                    <w:gridCol w:w="699"/>
                    <w:gridCol w:w="727"/>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Tipos de cotizantes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Código No.</w:t>
                        </w:r>
                      </w:p>
                    </w:tc>
                    <w:tc>
                      <w:tcPr>
                        <w:tcW w:w="0" w:type="auto"/>
                        <w:gridSpan w:val="8"/>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SALUD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PENSIÓN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ARL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CCF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SENA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ESAP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MEN.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Dependiente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01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X</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lastRenderedPageBreak/>
                    <w:t>15. En el numeral 13 “</w:t>
                  </w:r>
                  <w:r w:rsidRPr="00667BB9">
                    <w:rPr>
                      <w:rFonts w:ascii="Segoe UI" w:eastAsia="Times New Roman" w:hAnsi="Segoe UI" w:cs="Segoe UI"/>
                      <w:i/>
                      <w:iCs/>
                      <w:sz w:val="24"/>
                      <w:szCs w:val="24"/>
                      <w:lang w:eastAsia="es-CO"/>
                    </w:rPr>
                    <w:t>normatividad para el cálculo de los intereses de mora de acuerdo con la clase de aportante</w:t>
                  </w:r>
                  <w:r w:rsidRPr="00667BB9">
                    <w:rPr>
                      <w:rFonts w:ascii="Segoe UI" w:eastAsia="Times New Roman" w:hAnsi="Segoe UI" w:cs="Segoe UI"/>
                      <w:sz w:val="24"/>
                      <w:szCs w:val="24"/>
                      <w:lang w:eastAsia="es-CO"/>
                    </w:rPr>
                    <w:t>” del capítulo 4 “</w:t>
                  </w:r>
                  <w:r w:rsidRPr="00667BB9">
                    <w:rPr>
                      <w:rFonts w:ascii="Segoe UI" w:eastAsia="Times New Roman" w:hAnsi="Segoe UI" w:cs="Segoe UI"/>
                      <w:i/>
                      <w:iCs/>
                      <w:sz w:val="24"/>
                      <w:szCs w:val="24"/>
                      <w:lang w:eastAsia="es-CO"/>
                    </w:rPr>
                    <w:t>Validación coherencia datos</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adicionar los literales d, e y f, así:</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d) Para el pago de aportes al Sistema de Seguridad Social Integral y Parafiscales se tomarán los plazos establecidos en el artículo 2 del Decreto 1990 de 2016 que modificó el Título 2 de la Parte 2 del Libro 3 del Decreto Único Reglamentario del Sector Salud y Protección Social, Decreto 780 de 2016 o la norma que lo modifique o sustituya.</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e) Cuando el aportante esté diligenciando una planilla “</w:t>
                  </w:r>
                  <w:r w:rsidRPr="00667BB9">
                    <w:rPr>
                      <w:rFonts w:ascii="Segoe UI" w:eastAsia="Times New Roman" w:hAnsi="Segoe UI" w:cs="Segoe UI"/>
                      <w:i/>
                      <w:iCs/>
                      <w:sz w:val="24"/>
                      <w:szCs w:val="24"/>
                      <w:lang w:eastAsia="es-CO"/>
                    </w:rPr>
                    <w:t>N-Planilla de Correcciones</w:t>
                  </w:r>
                  <w:r w:rsidRPr="00667BB9">
                    <w:rPr>
                      <w:rFonts w:ascii="Segoe UI" w:eastAsia="Times New Roman" w:hAnsi="Segoe UI" w:cs="Segoe UI"/>
                      <w:sz w:val="24"/>
                      <w:szCs w:val="24"/>
                      <w:lang w:eastAsia="es-CO"/>
                    </w:rPr>
                    <w:t>”, se realizarán los descuentos de los intereses de mora de que tratan los artículos 316 y 317 de la Ley 1819 de 2016, dependiendo de:</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i. Si el “</w:t>
                  </w:r>
                  <w:r w:rsidRPr="00667BB9">
                    <w:rPr>
                      <w:rFonts w:ascii="Segoe UI" w:eastAsia="Times New Roman" w:hAnsi="Segoe UI" w:cs="Segoe UI"/>
                      <w:i/>
                      <w:iCs/>
                      <w:sz w:val="24"/>
                      <w:szCs w:val="24"/>
                      <w:lang w:eastAsia="es-CO"/>
                    </w:rPr>
                    <w:t>Indicador UGPP</w:t>
                  </w:r>
                  <w:r w:rsidRPr="00667BB9">
                    <w:rPr>
                      <w:rFonts w:ascii="Segoe UI" w:eastAsia="Times New Roman" w:hAnsi="Segoe UI" w:cs="Segoe UI"/>
                      <w:sz w:val="24"/>
                      <w:szCs w:val="24"/>
                      <w:lang w:eastAsia="es-CO"/>
                    </w:rPr>
                    <w:t>”, reportado por el aportante, tiene valor de “2”, se exonerará en el 80% del pago de intereses de mora para los subsistemas diferentes a pensión, siempre y cuando la fecha de pago sea menor o igual a 30 de octubre de 2017.</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ii. Si el “</w:t>
                  </w:r>
                  <w:r w:rsidRPr="00667BB9">
                    <w:rPr>
                      <w:rFonts w:ascii="Segoe UI" w:eastAsia="Times New Roman" w:hAnsi="Segoe UI" w:cs="Segoe UI"/>
                      <w:i/>
                      <w:iCs/>
                      <w:sz w:val="24"/>
                      <w:szCs w:val="24"/>
                      <w:lang w:eastAsia="es-CO"/>
                    </w:rPr>
                    <w:t>Indicador UGPP</w:t>
                  </w:r>
                  <w:r w:rsidRPr="00667BB9">
                    <w:rPr>
                      <w:rFonts w:ascii="Segoe UI" w:eastAsia="Times New Roman" w:hAnsi="Segoe UI" w:cs="Segoe UI"/>
                      <w:sz w:val="24"/>
                      <w:szCs w:val="24"/>
                      <w:lang w:eastAsia="es-CO"/>
                    </w:rPr>
                    <w:t>”, reportado por el aportante, tiene valor de “3”, se exonerará en el 80% del pago de intereses de mora para los subsistemas diferentes a pensión, por el término que dure la liquidación.</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iii. Si el “</w:t>
                  </w:r>
                  <w:r w:rsidRPr="00667BB9">
                    <w:rPr>
                      <w:rFonts w:ascii="Segoe UI" w:eastAsia="Times New Roman" w:hAnsi="Segoe UI" w:cs="Segoe UI"/>
                      <w:i/>
                      <w:iCs/>
                      <w:sz w:val="24"/>
                      <w:szCs w:val="24"/>
                      <w:lang w:eastAsia="es-CO"/>
                    </w:rPr>
                    <w:t>Indicador UGPP</w:t>
                  </w:r>
                  <w:r w:rsidRPr="00667BB9">
                    <w:rPr>
                      <w:rFonts w:ascii="Segoe UI" w:eastAsia="Times New Roman" w:hAnsi="Segoe UI" w:cs="Segoe UI"/>
                      <w:sz w:val="24"/>
                      <w:szCs w:val="24"/>
                      <w:lang w:eastAsia="es-CO"/>
                    </w:rPr>
                    <w:t>”, reportado por el aportante, tiene valor de “4”, se exonerará en el 30% del pago de intereses de mora para los subsistemas diferentes a pensión, siempre y cuando la fecha de pago sea menor o igual a 30 de octubre de 2017.</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iv. Si el “</w:t>
                  </w:r>
                  <w:r w:rsidRPr="00667BB9">
                    <w:rPr>
                      <w:rFonts w:ascii="Segoe UI" w:eastAsia="Times New Roman" w:hAnsi="Segoe UI" w:cs="Segoe UI"/>
                      <w:i/>
                      <w:iCs/>
                      <w:sz w:val="24"/>
                      <w:szCs w:val="24"/>
                      <w:lang w:eastAsia="es-CO"/>
                    </w:rPr>
                    <w:t>Indicador UGPP</w:t>
                  </w:r>
                  <w:r w:rsidRPr="00667BB9">
                    <w:rPr>
                      <w:rFonts w:ascii="Segoe UI" w:eastAsia="Times New Roman" w:hAnsi="Segoe UI" w:cs="Segoe UI"/>
                      <w:sz w:val="24"/>
                      <w:szCs w:val="24"/>
                      <w:lang w:eastAsia="es-CO"/>
                    </w:rPr>
                    <w:t>”, reportado por el aportante, tiene valor de “5”, se exonerará en el 30% del pago de intereses de mora para los subsistemas diferentes a pensión, por el término que dure la liquidación.</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v. Si el “</w:t>
                  </w:r>
                  <w:r w:rsidRPr="00667BB9">
                    <w:rPr>
                      <w:rFonts w:ascii="Segoe UI" w:eastAsia="Times New Roman" w:hAnsi="Segoe UI" w:cs="Segoe UI"/>
                      <w:i/>
                      <w:iCs/>
                      <w:sz w:val="24"/>
                      <w:szCs w:val="24"/>
                      <w:lang w:eastAsia="es-CO"/>
                    </w:rPr>
                    <w:t>Indicador UGPP</w:t>
                  </w:r>
                  <w:r w:rsidRPr="00667BB9">
                    <w:rPr>
                      <w:rFonts w:ascii="Segoe UI" w:eastAsia="Times New Roman" w:hAnsi="Segoe UI" w:cs="Segoe UI"/>
                      <w:sz w:val="24"/>
                      <w:szCs w:val="24"/>
                      <w:lang w:eastAsia="es-CO"/>
                    </w:rPr>
                    <w:t>”, reportado por el aportante, tiene valor de “6”, se exonerará en el 20% del pago de intereses de mora para los subsistemas diferentes a pensión, siempre y cuando la fecha de pago sea menor o igual a 30 de octubre de 2017.</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vi. Si el “</w:t>
                  </w:r>
                  <w:r w:rsidRPr="00667BB9">
                    <w:rPr>
                      <w:rFonts w:ascii="Segoe UI" w:eastAsia="Times New Roman" w:hAnsi="Segoe UI" w:cs="Segoe UI"/>
                      <w:i/>
                      <w:iCs/>
                      <w:sz w:val="24"/>
                      <w:szCs w:val="24"/>
                      <w:lang w:eastAsia="es-CO"/>
                    </w:rPr>
                    <w:t>Indicador UGPP</w:t>
                  </w:r>
                  <w:r w:rsidRPr="00667BB9">
                    <w:rPr>
                      <w:rFonts w:ascii="Segoe UI" w:eastAsia="Times New Roman" w:hAnsi="Segoe UI" w:cs="Segoe UI"/>
                      <w:sz w:val="24"/>
                      <w:szCs w:val="24"/>
                      <w:lang w:eastAsia="es-CO"/>
                    </w:rPr>
                    <w:t>”, reportado por el aportante, tiene valor de “7”, se exonerará en el 20% del pago de intereses de mora para los subsistemas diferentes a pensión, por el término que dure la liquidación.</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f) Si el aportante realiza el pago de aportes al Sistema General de Pensiones, para períodos de pago de 2015 y anteriores, hasta el 30 de junio de 2017, se le aplicará una reducción del 70% de los intereses moratorios para los subsistemas diferentes al de pensiones, de acuerdo con lo establecido en el artículo 320 de la Ley 1819 de 2016, sin perjuicio de las acciones de fiscalización que en el marco de sus competencias adelante la UGPP. Esta liquidación de intereses de mora aplica para todos los tipos de planilla y no aplica para los cotizantes que no están obligados a aportar al Sistema General de Pensiones. Es responsabilidad del aportante suministrar esta información.</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16. En el numeral 14 “</w:t>
                  </w:r>
                  <w:r w:rsidRPr="00667BB9">
                    <w:rPr>
                      <w:rFonts w:ascii="Segoe UI" w:eastAsia="Times New Roman" w:hAnsi="Segoe UI" w:cs="Segoe UI"/>
                      <w:i/>
                      <w:iCs/>
                      <w:sz w:val="24"/>
                      <w:szCs w:val="24"/>
                      <w:lang w:eastAsia="es-CO"/>
                    </w:rPr>
                    <w:t>Validación del Cálculo de la Cotización</w:t>
                  </w:r>
                  <w:r w:rsidRPr="00667BB9">
                    <w:rPr>
                      <w:rFonts w:ascii="Segoe UI" w:eastAsia="Times New Roman" w:hAnsi="Segoe UI" w:cs="Segoe UI"/>
                      <w:sz w:val="24"/>
                      <w:szCs w:val="24"/>
                      <w:lang w:eastAsia="es-CO"/>
                    </w:rPr>
                    <w:t>” del capítulo 4 “</w:t>
                  </w:r>
                  <w:r w:rsidRPr="00667BB9">
                    <w:rPr>
                      <w:rFonts w:ascii="Segoe UI" w:eastAsia="Times New Roman" w:hAnsi="Segoe UI" w:cs="Segoe UI"/>
                      <w:i/>
                      <w:iCs/>
                      <w:sz w:val="24"/>
                      <w:szCs w:val="24"/>
                      <w:lang w:eastAsia="es-CO"/>
                    </w:rPr>
                    <w:t>Validación Coherencia Datos</w:t>
                  </w:r>
                  <w:r w:rsidRPr="00667BB9">
                    <w:rPr>
                      <w:rFonts w:ascii="Segoe UI" w:eastAsia="Times New Roman" w:hAnsi="Segoe UI" w:cs="Segoe UI"/>
                      <w:sz w:val="24"/>
                      <w:szCs w:val="24"/>
                      <w:lang w:eastAsia="es-CO"/>
                    </w:rPr>
                    <w:t>” del Anexo Técnico 2 “</w:t>
                  </w:r>
                  <w:r w:rsidRPr="00667BB9">
                    <w:rPr>
                      <w:rFonts w:ascii="Segoe UI" w:eastAsia="Times New Roman" w:hAnsi="Segoe UI" w:cs="Segoe UI"/>
                      <w:i/>
                      <w:iCs/>
                      <w:sz w:val="24"/>
                      <w:szCs w:val="24"/>
                      <w:lang w:eastAsia="es-CO"/>
                    </w:rPr>
                    <w:t>Aportes a Seguridad Social de Activos</w:t>
                  </w:r>
                  <w:r w:rsidRPr="00667BB9">
                    <w:rPr>
                      <w:rFonts w:ascii="Segoe UI" w:eastAsia="Times New Roman" w:hAnsi="Segoe UI" w:cs="Segoe UI"/>
                      <w:sz w:val="24"/>
                      <w:szCs w:val="24"/>
                      <w:lang w:eastAsia="es-CO"/>
                    </w:rPr>
                    <w:t>”; modificar la validación del cálculo de la cotización, así:</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adjustRightInd w:val="0"/>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lastRenderedPageBreak/>
                    <w:t>“El recaudo debe dar cumplimiento a lo establecido en el artículo 204 de la Ley 100 de 1993, modificado por el artículo 10 de la Ley 1122 de 2007, mediante la cual no puede haber aportes inferiores a un salario mínimo legal mensual vigente.</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La validación del valor de los campos 47 - “Cotización Obligatoria a Pensiones”, 55 - “Cotización Obligatoria a Salud”, 63 - “Cotización Obligatoria a Riesgos Laborales”, 65- “Valor aporte CCF”, 67 - “Valor aportes SENA”, 69 - “Valor aporte ICBF”, 71 - “Valor aporte ESAP”, 73 - “Valor aporte MEN” del registro tipo 2 del archivo tipo 2, se debe realizar de acuerdo al siguiente procedimiento:</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a) Para el subsistema de salud.</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 Se toma el valor del Ingreso Base de Cotización (IBC) reportado en el campo 43 - “IBC Salud” del registro tipo 2 del archivo tipo 2 y se multiplica por la tarifa reportada en el campo 54 - “Tarifa de aportes Salud” del registro tipo 2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ii. Se redondea de acuerdo con lo establecido en el artículo 3.2.1.5 del Título 1 de la Parte 2 del Libro 3 del Decreto 780 de 2016, modificado por el artículo 1 del Decreto 1990 de 2016 o la norma que lo modifique o sustituya.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b) Para el subsistema de pensiones.</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 Se toma el valor del Ingreso Base de Cotización (IBC) reportado en el campo 42 - “IBC Pensión” del registro tipo 2 del archivo tipo 2 y se multiplica por la tarifa reportada en el campo 46 - “Tarifa de aportes a Pensiones” del registro tipo 2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ii. Se redondea de acuerdo con lo establecido en el artículo 3.2.1.5 del Título 1 de la Parte 2 del Libro 3 del Decreto 780 de 2016, modificado por el artículo 1 del Decreto 1990 de 2016 o la norma que lo modifique o sustituya.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c) Para el subsistema de Riesgos Laborales</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 Se toma el valor del Ingreso Base de Cotización (IBC) reportado en el campo 44 - “IBC Riesgos Laborales” del registro tipo 2 del archivo tipo 2 y se multiplica por la tarifa reportada en el campo 61 - “Tarifa de Aportes a Riesgos Laborales” del registro tipo 2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ii. Se redondea de acuerdo con lo establecido en el artículo 3.2.1.5 del Título 1 de la Parte 2 del Libro 3 del Decreto 780 de 2016, modificado por el artículo 1 del Decreto 1990 de 2016 o la norma que lo modifique o sustituya.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d) Para Cajas de Compensación Familiar.</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 Se toma el valor del Ingreso Base de Cotización (IBC) reportado en el campo 45 - “IBC CCF” del registro tipo 2 del archivo tipo 2 y se multiplica por la tarifa reportada en el campo 64 - “Tarifa de Aportes CCF” del registro tipo 2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ii. Se redondea de acuerdo con lo establecido en el artículo 3.2.1.5 del Título 1 de la Parte 2 del Libro 3 del Decreto 780 de 2016, modificado por el artículo 1 del Decreto 1990 de 2016 o la norma que lo modifique o sustituya.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e) Para el Servicio Nacional de Aprendizaje (SENA).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lastRenderedPageBreak/>
                    <w:t>i. Se toma el valor del Ingreso Base de Cotización (IBC) reportado en el campo 95 - “IBC otros parafiscales diferentes a CCF” del registro tipo 2 del archivo tipo 2 y se multiplica por la tarifa reportada en el campo 66 - “Tarifa de Aportes SENA” del registro tipo 2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ii. Se redondea de acuerdo con lo establecido en el artículo 3.2.1.5 del Título 1 de la Parte 2 del Libro 3 del Decreto 780 de 2016, modificado por el artículo 1 del Decreto 1990 de 2016 o la norma que lo modifique o sustituya.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f) Para el Instituto Colombiano de Bienestar Familiar (ICBF)</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 Se toma el valor del Ingreso Base de Cotización (IBC) reportado en el campo 95 - “IBC otros parafiscales diferentes a CCF” del registro tipo 2 del archivo tipo 2 y se multiplica por la tarifa reportada en el campo 68 - “Tarifa Aportes ICBF” del registro tipo 2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ii) Se redondea de acuerdo con lo establecido en el artículo 3.2.1.5 del Título 1 de la Parte 2 del Libro 3 del Decreto 780 de 2016, modificado por el artículo 1</w:t>
                  </w:r>
                  <w:r w:rsidRPr="00667BB9">
                    <w:rPr>
                      <w:rFonts w:ascii="Segoe UI" w:eastAsia="Times New Roman" w:hAnsi="Segoe UI" w:cs="Segoe UI"/>
                      <w:lang w:eastAsia="es-CO"/>
                    </w:rPr>
                    <w:t xml:space="preserve">° </w:t>
                  </w:r>
                  <w:r w:rsidRPr="00667BB9">
                    <w:rPr>
                      <w:rFonts w:ascii="Segoe UI" w:eastAsia="Times New Roman" w:hAnsi="Segoe UI" w:cs="Segoe UI"/>
                      <w:i/>
                      <w:iCs/>
                      <w:lang w:eastAsia="es-CO"/>
                    </w:rPr>
                    <w:t>del Decreto 1990 de 2016 o la norma que lo modifique o sustituya.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g) Para la Escuela Superior de Administración Pública (ESAP).</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 Se toma el valor del Ingreso Base de Cotización (IBC) reportado en el campo 95 - “IBC otros parafiscales diferentes a CCF” del registro tipo 2 del archivo tipo 2 y se multiplica por la tarifa reportada en el campo 70 - “Tarifa Aportes ESAP” del registro tipo 2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ii. Se redondea de acuerdo con lo establecido en el artículo 3.2.1.5 del Título 1 de la Parte 2 del Libro 3 del Decreto 780 de 2016, modificado por el artículo 1 del Decreto 1990 de 2016 o la norma que lo modifique o sustituya.</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h) Para el Ministerio de Educación Nacional (MEN)</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 Se toma el valor del Ingreso Base de Cotización (IBC) reportado en el campo 95 - “IBC otros parafiscales diferentes a CCF” del registro tipo 2 del archivo tipo 2 y se multiplica por la tarifa reportada en el campo 72 - “Tarifa Aportes MEN” del registro tipo 2 del archivo tipo 2.</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ii. Se redondea de acuerdo con lo establecido en el artículo 3.2.1.5 del Título 1 de la Parte 2 del Libro 3 del Decreto 780 de 2016, modificado por el artículo 1 del Decreto 1990 de 2016 o la norma que lo modifique o sustituya.</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17. En el numeral 3.2.1 “</w:t>
                  </w:r>
                  <w:r w:rsidRPr="00667BB9">
                    <w:rPr>
                      <w:rFonts w:ascii="Segoe UI" w:eastAsia="Times New Roman" w:hAnsi="Segoe UI" w:cs="Segoe UI"/>
                      <w:i/>
                      <w:iCs/>
                      <w:sz w:val="24"/>
                      <w:szCs w:val="24"/>
                      <w:lang w:eastAsia="es-CO"/>
                    </w:rPr>
                    <w:t>Estructura de datos del registro de salida tipo 1. Encabezado planilla</w:t>
                  </w:r>
                  <w:r w:rsidRPr="00667BB9">
                    <w:rPr>
                      <w:rFonts w:ascii="Segoe UI" w:eastAsia="Times New Roman" w:hAnsi="Segoe UI" w:cs="Segoe UI"/>
                      <w:sz w:val="24"/>
                      <w:szCs w:val="24"/>
                      <w:lang w:eastAsia="es-CO"/>
                    </w:rPr>
                    <w:t>” del Anexo Técnico 4 “</w:t>
                  </w:r>
                  <w:r w:rsidRPr="00667BB9">
                    <w:rPr>
                      <w:rFonts w:ascii="Segoe UI" w:eastAsia="Times New Roman" w:hAnsi="Segoe UI" w:cs="Segoe UI"/>
                      <w:i/>
                      <w:iCs/>
                      <w:sz w:val="24"/>
                      <w:szCs w:val="24"/>
                      <w:lang w:eastAsia="es-CO"/>
                    </w:rPr>
                    <w:t>Estructura de los archivos de salida con destino al administrador fiduciario de los recursos del Fondo de Solidaridad y Garantía (</w:t>
                  </w:r>
                  <w:proofErr w:type="spellStart"/>
                  <w:r w:rsidRPr="00667BB9">
                    <w:rPr>
                      <w:rFonts w:ascii="Segoe UI" w:eastAsia="Times New Roman" w:hAnsi="Segoe UI" w:cs="Segoe UI"/>
                      <w:i/>
                      <w:iCs/>
                      <w:sz w:val="24"/>
                      <w:szCs w:val="24"/>
                      <w:lang w:eastAsia="es-CO"/>
                    </w:rPr>
                    <w:t>Fosyga</w:t>
                  </w:r>
                  <w:proofErr w:type="spellEnd"/>
                  <w:r w:rsidRPr="00667BB9">
                    <w:rPr>
                      <w:rFonts w:ascii="Segoe UI" w:eastAsia="Times New Roman" w:hAnsi="Segoe UI" w:cs="Segoe UI"/>
                      <w:sz w:val="24"/>
                      <w:szCs w:val="24"/>
                      <w:lang w:eastAsia="es-CO"/>
                    </w:rPr>
                    <w:t xml:space="preserve">)”, modificar la descripción del campo 34 - </w:t>
                  </w:r>
                  <w:r w:rsidRPr="00667BB9">
                    <w:rPr>
                      <w:rFonts w:ascii="Segoe UI" w:eastAsia="Times New Roman" w:hAnsi="Segoe UI" w:cs="Segoe UI"/>
                      <w:i/>
                      <w:iCs/>
                      <w:sz w:val="24"/>
                      <w:szCs w:val="24"/>
                      <w:lang w:eastAsia="es-CO"/>
                    </w:rPr>
                    <w:t>“Aportante exonerado de pago de aporte a salud, SENA e ICBF- Ley 1607 de 2012”</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86"/>
                    <w:gridCol w:w="554"/>
                    <w:gridCol w:w="663"/>
                    <w:gridCol w:w="637"/>
                    <w:gridCol w:w="3878"/>
                    <w:gridCol w:w="4118"/>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sz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34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415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Aportante exonerado de pago de aporte de salud, SENA e 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El registrado en el campo 33 del archivo tipo 1 del Anexo Técnico 2.</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Para el caso de pagadores de pensiones se deja en blanco</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lastRenderedPageBreak/>
                    <w:t>18. En el numeral 3.3.1 “</w:t>
                  </w:r>
                  <w:r w:rsidRPr="00667BB9">
                    <w:rPr>
                      <w:rFonts w:ascii="Segoe UI" w:eastAsia="Times New Roman" w:hAnsi="Segoe UI" w:cs="Segoe UI"/>
                      <w:i/>
                      <w:iCs/>
                      <w:sz w:val="24"/>
                      <w:szCs w:val="24"/>
                      <w:lang w:eastAsia="es-CO"/>
                    </w:rPr>
                    <w:t>Estructura de datos del registro de salida tipo 2. Liquidación detallada Planilla</w:t>
                  </w:r>
                  <w:r w:rsidRPr="00667BB9">
                    <w:rPr>
                      <w:rFonts w:ascii="Segoe UI" w:eastAsia="Times New Roman" w:hAnsi="Segoe UI" w:cs="Segoe UI"/>
                      <w:sz w:val="24"/>
                      <w:szCs w:val="24"/>
                      <w:lang w:eastAsia="es-CO"/>
                    </w:rPr>
                    <w:t>” del anexo técnico 4 “</w:t>
                  </w:r>
                  <w:r w:rsidRPr="00667BB9">
                    <w:rPr>
                      <w:rFonts w:ascii="Segoe UI" w:eastAsia="Times New Roman" w:hAnsi="Segoe UI" w:cs="Segoe UI"/>
                      <w:i/>
                      <w:iCs/>
                      <w:sz w:val="24"/>
                      <w:szCs w:val="24"/>
                      <w:lang w:eastAsia="es-CO"/>
                    </w:rPr>
                    <w:t>Estructura de los archivos de salida con destino al administrador fiduciario de los recursos del Fondo de Solidaridad y Garantía (</w:t>
                  </w:r>
                  <w:proofErr w:type="spellStart"/>
                  <w:r w:rsidRPr="00667BB9">
                    <w:rPr>
                      <w:rFonts w:ascii="Segoe UI" w:eastAsia="Times New Roman" w:hAnsi="Segoe UI" w:cs="Segoe UI"/>
                      <w:i/>
                      <w:iCs/>
                      <w:sz w:val="24"/>
                      <w:szCs w:val="24"/>
                      <w:lang w:eastAsia="es-CO"/>
                    </w:rPr>
                    <w:t>Fosyga</w:t>
                  </w:r>
                  <w:proofErr w:type="spellEnd"/>
                  <w:r w:rsidRPr="00667BB9">
                    <w:rPr>
                      <w:rFonts w:ascii="Segoe UI" w:eastAsia="Times New Roman" w:hAnsi="Segoe UI" w:cs="Segoe UI"/>
                      <w:sz w:val="24"/>
                      <w:szCs w:val="24"/>
                      <w:lang w:eastAsia="es-CO"/>
                    </w:rPr>
                    <w:t xml:space="preserve">)”, modificar la descripción del campo 46 - </w:t>
                  </w:r>
                  <w:r w:rsidRPr="00667BB9">
                    <w:rPr>
                      <w:rFonts w:ascii="Segoe UI" w:eastAsia="Times New Roman" w:hAnsi="Segoe UI" w:cs="Segoe UI"/>
                      <w:i/>
                      <w:iCs/>
                      <w:sz w:val="24"/>
                      <w:szCs w:val="24"/>
                      <w:lang w:eastAsia="es-CO"/>
                    </w:rPr>
                    <w:t>“Cotizante exonerado de pago de aporte salud, SENA e ICBF - Ley 1607 de 2012”</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86"/>
                    <w:gridCol w:w="554"/>
                    <w:gridCol w:w="663"/>
                    <w:gridCol w:w="637"/>
                    <w:gridCol w:w="3398"/>
                    <w:gridCol w:w="4598"/>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szCs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szCs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szCs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szCs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szCs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szCs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sz w:val="20"/>
                            <w:szCs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szCs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308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Cotizante exonerado de pago de aporte salud, SENA e 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El registrado en el campo 76 del registro tipo 2 del archivo tipo 2 del anexo técnico 2.</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szCs w:val="20"/>
                            <w:lang w:eastAsia="es-CO"/>
                          </w:rPr>
                          <w:t>Para el caso de pagadores de pensiones se deja en blanco</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19. En el numeral 2.1.1 “</w:t>
                  </w:r>
                  <w:r w:rsidRPr="00667BB9">
                    <w:rPr>
                      <w:rFonts w:ascii="Segoe UI" w:eastAsia="Times New Roman" w:hAnsi="Segoe UI" w:cs="Segoe UI"/>
                      <w:i/>
                      <w:iCs/>
                      <w:sz w:val="24"/>
                      <w:szCs w:val="24"/>
                      <w:lang w:eastAsia="es-CO"/>
                    </w:rPr>
                    <w:t>Estructura de datos del Registro tipo 1. Encabezado del Archivo</w:t>
                  </w:r>
                  <w:r w:rsidRPr="00667BB9">
                    <w:rPr>
                      <w:rFonts w:ascii="Segoe UI" w:eastAsia="Times New Roman" w:hAnsi="Segoe UI" w:cs="Segoe UI"/>
                      <w:sz w:val="24"/>
                      <w:szCs w:val="24"/>
                      <w:lang w:eastAsia="es-CO"/>
                    </w:rPr>
                    <w:t>” del anexo técnico 5 “</w:t>
                  </w:r>
                  <w:r w:rsidRPr="00667BB9">
                    <w:rPr>
                      <w:rFonts w:ascii="Segoe UI" w:eastAsia="Times New Roman" w:hAnsi="Segoe UI" w:cs="Segoe UI"/>
                      <w:i/>
                      <w:iCs/>
                      <w:sz w:val="24"/>
                      <w:szCs w:val="24"/>
                      <w:lang w:eastAsia="es-CO"/>
                    </w:rPr>
                    <w:t>Definición de los archivos de salida con destino al Ministerio de Salud y Protección Social</w:t>
                  </w:r>
                  <w:r w:rsidRPr="00667BB9">
                    <w:rPr>
                      <w:rFonts w:ascii="Segoe UI" w:eastAsia="Times New Roman" w:hAnsi="Segoe UI" w:cs="Segoe UI"/>
                      <w:sz w:val="24"/>
                      <w:szCs w:val="24"/>
                      <w:lang w:eastAsia="es-CO"/>
                    </w:rPr>
                    <w:t>”, modificar la descripción del campo “</w:t>
                  </w:r>
                  <w:r w:rsidRPr="00667BB9">
                    <w:rPr>
                      <w:rFonts w:ascii="Segoe UI" w:eastAsia="Times New Roman" w:hAnsi="Segoe UI" w:cs="Segoe UI"/>
                      <w:i/>
                      <w:iCs/>
                      <w:sz w:val="24"/>
                      <w:szCs w:val="24"/>
                      <w:lang w:eastAsia="es-CO"/>
                    </w:rPr>
                    <w:t>38- Aportante exonerado de pago de aporte a salud, SENA e ICBF- Ley 1607 de 2012</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86"/>
                    <w:gridCol w:w="554"/>
                    <w:gridCol w:w="663"/>
                    <w:gridCol w:w="637"/>
                    <w:gridCol w:w="2898"/>
                    <w:gridCol w:w="5098"/>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sz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38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596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Aportante exonerado de pago de aporte a salud, SENA e 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Para activos es el tomado en el campo 33 del archivo tipo 1 del anexo técnico 2. Para pagadores de pensiones se deja en blanco.</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20. En el numeral 2.2.1 “</w:t>
                  </w:r>
                  <w:r w:rsidRPr="00667BB9">
                    <w:rPr>
                      <w:rFonts w:ascii="Segoe UI" w:eastAsia="Times New Roman" w:hAnsi="Segoe UI" w:cs="Segoe UI"/>
                      <w:i/>
                      <w:iCs/>
                      <w:sz w:val="24"/>
                      <w:szCs w:val="24"/>
                      <w:lang w:eastAsia="es-CO"/>
                    </w:rPr>
                    <w:t>Estructura de datos del registro de salida tipo 2. Liquidación detallada planilla</w:t>
                  </w:r>
                  <w:r w:rsidRPr="00667BB9">
                    <w:rPr>
                      <w:rFonts w:ascii="Segoe UI" w:eastAsia="Times New Roman" w:hAnsi="Segoe UI" w:cs="Segoe UI"/>
                      <w:sz w:val="24"/>
                      <w:szCs w:val="24"/>
                      <w:lang w:eastAsia="es-CO"/>
                    </w:rPr>
                    <w:t>” del anexo técnico 5 “</w:t>
                  </w:r>
                  <w:r w:rsidRPr="00667BB9">
                    <w:rPr>
                      <w:rFonts w:ascii="Segoe UI" w:eastAsia="Times New Roman" w:hAnsi="Segoe UI" w:cs="Segoe UI"/>
                      <w:i/>
                      <w:iCs/>
                      <w:sz w:val="24"/>
                      <w:szCs w:val="24"/>
                      <w:lang w:eastAsia="es-CO"/>
                    </w:rPr>
                    <w:t>Definición de los archivos de salida con destino al Ministerio de Salud y Protección Social</w:t>
                  </w:r>
                  <w:r w:rsidRPr="00667BB9">
                    <w:rPr>
                      <w:rFonts w:ascii="Segoe UI" w:eastAsia="Times New Roman" w:hAnsi="Segoe UI" w:cs="Segoe UI"/>
                      <w:sz w:val="24"/>
                      <w:szCs w:val="24"/>
                      <w:lang w:eastAsia="es-CO"/>
                    </w:rPr>
                    <w:t>”, modificar la descripción del campo “</w:t>
                  </w:r>
                  <w:r w:rsidRPr="00667BB9">
                    <w:rPr>
                      <w:rFonts w:ascii="Segoe UI" w:eastAsia="Times New Roman" w:hAnsi="Segoe UI" w:cs="Segoe UI"/>
                      <w:i/>
                      <w:iCs/>
                      <w:sz w:val="24"/>
                      <w:szCs w:val="24"/>
                      <w:lang w:eastAsia="es-CO"/>
                    </w:rPr>
                    <w:t>85- Cotizante exonerado de pago de aporte a salud, SENA e ICBF- Ley 1607 de 2012</w:t>
                  </w:r>
                  <w:r w:rsidRPr="00667BB9">
                    <w:rPr>
                      <w:rFonts w:ascii="Segoe UI" w:eastAsia="Times New Roman" w:hAnsi="Segoe UI" w:cs="Segoe UI"/>
                      <w:sz w:val="24"/>
                      <w:szCs w:val="24"/>
                      <w:lang w:eastAsia="es-CO"/>
                    </w:rPr>
                    <w:t>”, así:</w:t>
                  </w:r>
                </w:p>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86"/>
                    <w:gridCol w:w="554"/>
                    <w:gridCol w:w="663"/>
                    <w:gridCol w:w="637"/>
                    <w:gridCol w:w="2734"/>
                    <w:gridCol w:w="5262"/>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sz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sz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85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598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Cotizante exonerado de pago de aporte a salud, SENA e ICBF</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0"/>
                            <w:lang w:eastAsia="es-CO"/>
                          </w:rPr>
                          <w:t>Para activos es el tomado en el campo 76 del registro tipo 2 del archivo tipo 2 del anexo técnico 2. Para el caso de pensionados se deja en blanco.</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xml:space="preserve">21. En el numeral 2 “estructura de archivo de salida” se incluye el registro tipo 13 “Datos Adicionales” del Anexo Técnico 5 </w:t>
                  </w:r>
                  <w:r w:rsidRPr="00667BB9">
                    <w:rPr>
                      <w:rFonts w:ascii="Segoe UI" w:eastAsia="Times New Roman" w:hAnsi="Segoe UI" w:cs="Segoe UI"/>
                      <w:i/>
                      <w:iCs/>
                      <w:lang w:eastAsia="es-CO"/>
                    </w:rPr>
                    <w:t>“Definición de los archivos de salida con destino al Ministerio de Salud y Protección Social</w:t>
                  </w:r>
                  <w:r w:rsidRPr="00667BB9">
                    <w:rPr>
                      <w:rFonts w:ascii="Segoe UI" w:eastAsia="Times New Roman" w:hAnsi="Segoe UI" w:cs="Segoe UI"/>
                      <w:lang w:eastAsia="es-CO"/>
                    </w:rPr>
                    <w:t>”, así:</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“Registro de salida tipo 13 Datos adicionales:</w:t>
                  </w:r>
                  <w:r w:rsidRPr="00667BB9">
                    <w:rPr>
                      <w:rFonts w:ascii="Segoe UI" w:eastAsia="Times New Roman" w:hAnsi="Segoe UI" w:cs="Segoe UI"/>
                      <w:i/>
                      <w:iCs/>
                      <w:lang w:eastAsia="es-CO"/>
                    </w:rPr>
                    <w:t xml:space="preserve"> Este registro se generará cuando se haya realizado el pago de aportes al Sistema de Seguridad Social Integral y Parafiscales de aportantes que se encuentren en los eventos descritos en los </w:t>
                  </w:r>
                  <w:r w:rsidRPr="00667BB9">
                    <w:rPr>
                      <w:rFonts w:ascii="Segoe UI" w:eastAsia="Times New Roman" w:hAnsi="Segoe UI" w:cs="Segoe UI"/>
                      <w:i/>
                      <w:iCs/>
                      <w:lang w:eastAsia="es-CO"/>
                    </w:rPr>
                    <w:lastRenderedPageBreak/>
                    <w:t>artículos 316, 317, 318 y 320 de la Ley 1819 de 2016 y se hubiese informado de esta situación al operador de información durante el trámite de la planilla de corrección N”.</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xml:space="preserve">22. En el Anexo Técnico 5 </w:t>
                  </w:r>
                  <w:r w:rsidRPr="00667BB9">
                    <w:rPr>
                      <w:rFonts w:ascii="Segoe UI" w:eastAsia="Times New Roman" w:hAnsi="Segoe UI" w:cs="Segoe UI"/>
                      <w:i/>
                      <w:iCs/>
                      <w:lang w:eastAsia="es-CO"/>
                    </w:rPr>
                    <w:t>“Definición de los archivos de salida con destino al Ministerio de Salud y Protección Social</w:t>
                  </w:r>
                  <w:r w:rsidRPr="00667BB9">
                    <w:rPr>
                      <w:rFonts w:ascii="Segoe UI" w:eastAsia="Times New Roman" w:hAnsi="Segoe UI" w:cs="Segoe UI"/>
                      <w:lang w:eastAsia="es-CO"/>
                    </w:rPr>
                    <w:t xml:space="preserve">” adicionar el numeral 2.13 </w:t>
                  </w:r>
                  <w:r w:rsidRPr="00667BB9">
                    <w:rPr>
                      <w:rFonts w:ascii="Segoe UI" w:eastAsia="Times New Roman" w:hAnsi="Segoe UI" w:cs="Segoe UI"/>
                      <w:i/>
                      <w:iCs/>
                      <w:lang w:eastAsia="es-CO"/>
                    </w:rPr>
                    <w:t>“Registro de salida tipo 13. Datos adicionales”</w:t>
                  </w:r>
                  <w:r w:rsidRPr="00667BB9">
                    <w:rPr>
                      <w:rFonts w:ascii="Segoe UI" w:eastAsia="Times New Roman" w:hAnsi="Segoe UI" w:cs="Segoe UI"/>
                      <w:lang w:eastAsia="es-CO"/>
                    </w:rPr>
                    <w:t>, así:</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“2.13 Registro de salida tipo 13. Datos adicionales:</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lang w:eastAsia="es-CO"/>
                    </w:rPr>
                    <w:t>Este registro se generará cuando se haya realizado el pago de aportes al Sistema de Seguridad Social Integral y Parafiscales de aportantes que se encuentren en los eventos descritos en los artículos 316, 317, 318 y 320 de la Ley 1819 de 2016 y se hubiese informado de esta situación al operador de información durante el trámite de la planilla de corrección N”.</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23. En el Anexo Técnico 5 “</w:t>
                  </w:r>
                  <w:r w:rsidRPr="00667BB9">
                    <w:rPr>
                      <w:rFonts w:ascii="Segoe UI" w:eastAsia="Times New Roman" w:hAnsi="Segoe UI" w:cs="Segoe UI"/>
                      <w:i/>
                      <w:iCs/>
                      <w:lang w:eastAsia="es-CO"/>
                    </w:rPr>
                    <w:t>Definición de los Archivos de salida con destino al Ministerio de Salud y Protección Social</w:t>
                  </w:r>
                  <w:r w:rsidRPr="00667BB9">
                    <w:rPr>
                      <w:rFonts w:ascii="Segoe UI" w:eastAsia="Times New Roman" w:hAnsi="Segoe UI" w:cs="Segoe UI"/>
                      <w:lang w:eastAsia="es-CO"/>
                    </w:rPr>
                    <w:t xml:space="preserve">” adicionar el numeral 2.13.1 </w:t>
                  </w:r>
                  <w:r w:rsidRPr="00667BB9">
                    <w:rPr>
                      <w:rFonts w:ascii="Segoe UI" w:eastAsia="Times New Roman" w:hAnsi="Segoe UI" w:cs="Segoe UI"/>
                      <w:i/>
                      <w:iCs/>
                      <w:lang w:eastAsia="es-CO"/>
                    </w:rPr>
                    <w:t>“Estructura de datos del registro de salida”</w:t>
                  </w:r>
                  <w:r w:rsidRPr="00667BB9">
                    <w:rPr>
                      <w:rFonts w:ascii="Segoe UI" w:eastAsia="Times New Roman" w:hAnsi="Segoe UI" w:cs="Segoe UI"/>
                      <w:lang w:eastAsia="es-CO"/>
                    </w:rPr>
                    <w:t>, así:</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spacing w:after="0" w:line="240" w:lineRule="auto"/>
                    <w:ind w:left="180"/>
                    <w:jc w:val="both"/>
                    <w:rPr>
                      <w:rFonts w:ascii="Times New Roman" w:eastAsia="Times New Roman" w:hAnsi="Times New Roman" w:cs="Times New Roman"/>
                      <w:sz w:val="24"/>
                      <w:szCs w:val="24"/>
                      <w:lang w:eastAsia="es-CO"/>
                    </w:rPr>
                  </w:pPr>
                  <w:r w:rsidRPr="00667BB9">
                    <w:rPr>
                      <w:rFonts w:ascii="Segoe UI" w:eastAsia="Times New Roman" w:hAnsi="Segoe UI" w:cs="Segoe UI"/>
                      <w:b/>
                      <w:i/>
                      <w:iCs/>
                      <w:sz w:val="24"/>
                      <w:szCs w:val="24"/>
                      <w:lang w:eastAsia="es-CO"/>
                    </w:rPr>
                    <w:t>2.13.1 Estructura de datos del registro de salida tipo 13. Datos adicionales:</w:t>
                  </w:r>
                </w:p>
                <w:p w:rsidR="00667BB9" w:rsidRPr="00667BB9" w:rsidRDefault="00667BB9" w:rsidP="00667BB9">
                  <w:pPr>
                    <w:spacing w:after="0" w:line="240" w:lineRule="auto"/>
                    <w:ind w:left="180"/>
                    <w:jc w:val="center"/>
                    <w:rPr>
                      <w:rFonts w:ascii="Times New Roman" w:eastAsia="Times New Roman" w:hAnsi="Times New Roman" w:cs="Times New Roman"/>
                      <w:sz w:val="24"/>
                      <w:szCs w:val="24"/>
                      <w:lang w:eastAsia="es-CO"/>
                    </w:rPr>
                  </w:pPr>
                  <w:r w:rsidRPr="00667BB9">
                    <w:rPr>
                      <w:rFonts w:ascii="Segoe UI" w:eastAsia="Times New Roman" w:hAnsi="Segoe UI" w:cs="Segoe UI"/>
                      <w:b/>
                      <w:i/>
                      <w:iCs/>
                      <w:sz w:val="24"/>
                      <w:szCs w:val="24"/>
                      <w:lang w:eastAsia="es-CO"/>
                    </w:rPr>
                    <w:t> </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
                    <w:gridCol w:w="672"/>
                    <w:gridCol w:w="555"/>
                    <w:gridCol w:w="686"/>
                    <w:gridCol w:w="631"/>
                    <w:gridCol w:w="3370"/>
                    <w:gridCol w:w="4622"/>
                  </w:tblGrid>
                  <w:tr w:rsidR="00667BB9" w:rsidRPr="00667BB9">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sz w:val="20"/>
                            <w:lang w:eastAsia="es-CO"/>
                          </w:rPr>
                          <w:t>Campo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sz w:val="20"/>
                            <w:lang w:eastAsia="es-CO"/>
                          </w:rPr>
                          <w:t>Long</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sz w:val="20"/>
                            <w:lang w:eastAsia="es-CO"/>
                          </w:rPr>
                          <w:t>Posición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sz w:val="20"/>
                            <w:lang w:eastAsia="es-CO"/>
                          </w:rPr>
                          <w:t>Tipo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sz w:val="20"/>
                            <w:lang w:eastAsia="es-CO"/>
                          </w:rPr>
                          <w:t>Descripción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sz w:val="20"/>
                            <w:lang w:eastAsia="es-CO"/>
                          </w:rPr>
                          <w:t>Validaciones y origen de los datos</w:t>
                        </w:r>
                      </w:p>
                    </w:tc>
                  </w:tr>
                  <w:tr w:rsidR="00667BB9" w:rsidRPr="00667BB9">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proofErr w:type="spellStart"/>
                        <w:r w:rsidRPr="00667BB9">
                          <w:rPr>
                            <w:rFonts w:ascii="Segoe UI" w:eastAsia="Times New Roman" w:hAnsi="Segoe UI" w:cs="Segoe UI"/>
                            <w:b/>
                            <w:bCs/>
                            <w:i/>
                            <w:sz w:val="20"/>
                            <w:lang w:eastAsia="es-CO"/>
                          </w:rPr>
                          <w:t>Inic</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b/>
                            <w:bCs/>
                            <w:i/>
                            <w:sz w:val="20"/>
                            <w:lang w:eastAsia="es-CO"/>
                          </w:rPr>
                          <w:t>Final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Tipo de registro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Debe ser 13 para este caso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del registro</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número de registro</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Código del operador</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Para activos es el tomado en el campo 28 del archivo tipo 1 del anexo técnico 2.</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Para pagadores de pensiones es el tomado en el campo 25 del archivo tipo 1 del anexo técnico 3.</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de radicación o de la planilla integrada de liquidación de aportes.</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Para activos es el tomado en el campo 17 del registro tipo 1 del archivo tipo 2 del anexo técnico 2.</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Para pagadores de pensiones es el tomado en el campo 12 del registro tipo 1 del archivo tipo 2 del anexo técnico 3.</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5</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22</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Indicador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Número acto administrativo UGPP</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37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Fecha de apertura de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w:t>
                        </w:r>
                      </w:p>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(AAA-MM-DD)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lastRenderedPageBreak/>
                          <w:t>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20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47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66</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A</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 xml:space="preserve">Nombre de la entidad que adelanta la liquidación forzosa </w:t>
                        </w:r>
                        <w:proofErr w:type="spellStart"/>
                        <w:r w:rsidRPr="00667BB9">
                          <w:rPr>
                            <w:rFonts w:ascii="Segoe UI" w:eastAsia="Times New Roman" w:hAnsi="Segoe UI" w:cs="Segoe UI"/>
                            <w:i/>
                            <w:iCs/>
                            <w:sz w:val="20"/>
                            <w:szCs w:val="20"/>
                            <w:lang w:eastAsia="es-CO"/>
                          </w:rPr>
                          <w:t>adtva</w:t>
                        </w:r>
                        <w:proofErr w:type="spellEnd"/>
                        <w:r w:rsidRPr="00667BB9">
                          <w:rPr>
                            <w:rFonts w:ascii="Segoe UI" w:eastAsia="Times New Roman" w:hAnsi="Segoe UI" w:cs="Segoe UI"/>
                            <w:i/>
                            <w:iCs/>
                            <w:sz w:val="20"/>
                            <w:szCs w:val="20"/>
                            <w:lang w:eastAsia="es-CO"/>
                          </w:rPr>
                          <w:t xml:space="preserve">. </w:t>
                        </w:r>
                        <w:proofErr w:type="gramStart"/>
                        <w:r w:rsidRPr="00667BB9">
                          <w:rPr>
                            <w:rFonts w:ascii="Segoe UI" w:eastAsia="Times New Roman" w:hAnsi="Segoe UI" w:cs="Segoe UI"/>
                            <w:i/>
                            <w:iCs/>
                            <w:sz w:val="20"/>
                            <w:szCs w:val="20"/>
                            <w:lang w:eastAsia="es-CO"/>
                          </w:rPr>
                          <w:t>o</w:t>
                        </w:r>
                        <w:proofErr w:type="gramEnd"/>
                        <w:r w:rsidRPr="00667BB9">
                          <w:rPr>
                            <w:rFonts w:ascii="Segoe UI" w:eastAsia="Times New Roman" w:hAnsi="Segoe UI" w:cs="Segoe UI"/>
                            <w:i/>
                            <w:iCs/>
                            <w:sz w:val="20"/>
                            <w:szCs w:val="20"/>
                            <w:lang w:eastAsia="es-CO"/>
                          </w:rPr>
                          <w:t xml:space="preserve"> judicial.</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r w:rsidR="00667BB9" w:rsidRPr="00667BB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13</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67</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79</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center"/>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Valor pagado por la sanción.</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667BB9" w:rsidRPr="00667BB9" w:rsidRDefault="00667BB9" w:rsidP="00667BB9">
                        <w:pPr>
                          <w:adjustRightInd w:val="0"/>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0"/>
                            <w:szCs w:val="20"/>
                            <w:lang w:eastAsia="es-CO"/>
                          </w:rPr>
                          <w:t>Es el reportado por el aportante al operador de información al diligenciar la planilla de corrección N</w:t>
                        </w:r>
                      </w:p>
                    </w:tc>
                  </w:tr>
                </w:tbl>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lang w:eastAsia="es-CO"/>
                    </w:rPr>
                    <w:t>Artículo 2°.</w:t>
                  </w:r>
                  <w:r w:rsidRPr="00667BB9">
                    <w:rPr>
                      <w:rFonts w:ascii="Segoe UI" w:eastAsia="Times New Roman" w:hAnsi="Segoe UI" w:cs="Segoe UI"/>
                      <w:lang w:eastAsia="es-CO"/>
                    </w:rPr>
                    <w:t xml:space="preserve"> Este Ministerio publicará en su página web la versión compilada y actualizada de los anexos técnicos adoptados en la Resolución 2388 de 2016.</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sz w:val="24"/>
                      <w:szCs w:val="24"/>
                      <w:lang w:eastAsia="es-CO"/>
                    </w:rPr>
                    <w:t>Artículo 3°.</w:t>
                  </w:r>
                  <w:r w:rsidRPr="00667BB9">
                    <w:rPr>
                      <w:rFonts w:ascii="Segoe UI" w:eastAsia="Times New Roman" w:hAnsi="Segoe UI" w:cs="Segoe UI"/>
                      <w:sz w:val="24"/>
                      <w:szCs w:val="24"/>
                      <w:lang w:eastAsia="es-CO"/>
                    </w:rPr>
                    <w:t xml:space="preserve"> La presente resolución rige desde su fecha de publicación, no obstante los diferentes actores del Sistema de Seguridad Social Integral y Parafiscales dispondrán de hasta dos (2) meses contados a partir de la vigencia de la presente resolución, para efectuar las adecuaciones que permitan dar cumplimiento a los artículos 316 y 317 de la Ley 1819 de 2016 y modifica en lo pertinente los anexos técnicos 2, 4 y 5 de la Resolución 2388 de 2016, modificados por las Resoluciones 5858 de 2016 y 980 de 2017</w:t>
                  </w:r>
                  <w:r w:rsidRPr="00667BB9">
                    <w:rPr>
                      <w:rFonts w:ascii="Segoe UI" w:eastAsia="Times New Roman" w:hAnsi="Segoe UI" w:cs="Segoe UI"/>
                      <w:i/>
                      <w:iCs/>
                      <w:sz w:val="24"/>
                      <w:szCs w:val="24"/>
                      <w:lang w:eastAsia="es-CO"/>
                    </w:rPr>
                    <w:t>.</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lang w:eastAsia="es-CO"/>
                    </w:rPr>
                    <w:t>Publíquese y cúmplase.</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Dada en Bogotá, D. C., a 17 de mayo de 2017.</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lang w:eastAsia="es-CO"/>
                    </w:rPr>
                    <w:t>El Ministro de Salud y Protección Social,</w:t>
                  </w:r>
                </w:p>
                <w:p w:rsidR="00667BB9" w:rsidRPr="00667BB9" w:rsidRDefault="00667BB9" w:rsidP="00667BB9">
                  <w:pPr>
                    <w:spacing w:after="0" w:line="240" w:lineRule="auto"/>
                    <w:jc w:val="right"/>
                    <w:rPr>
                      <w:rFonts w:ascii="Times New Roman" w:eastAsia="Times New Roman" w:hAnsi="Times New Roman" w:cs="Times New Roman"/>
                      <w:sz w:val="24"/>
                      <w:szCs w:val="24"/>
                      <w:lang w:eastAsia="es-CO"/>
                    </w:rPr>
                  </w:pPr>
                  <w:r w:rsidRPr="00667BB9">
                    <w:rPr>
                      <w:rFonts w:ascii="Segoe UI" w:eastAsia="Times New Roman" w:hAnsi="Segoe UI" w:cs="Segoe UI"/>
                      <w:b/>
                      <w:i/>
                      <w:iCs/>
                      <w:sz w:val="24"/>
                      <w:szCs w:val="24"/>
                      <w:lang w:eastAsia="es-CO"/>
                    </w:rPr>
                    <w:t> </w:t>
                  </w:r>
                </w:p>
                <w:p w:rsidR="00667BB9" w:rsidRPr="00667BB9" w:rsidRDefault="00667BB9" w:rsidP="00667BB9">
                  <w:pPr>
                    <w:spacing w:after="0" w:line="240" w:lineRule="auto"/>
                    <w:jc w:val="right"/>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Alejandro Gaviria Uribe.</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i/>
                      <w:iCs/>
                      <w:sz w:val="24"/>
                      <w:szCs w:val="24"/>
                      <w:lang w:eastAsia="es-CO"/>
                    </w:rPr>
                    <w:t> </w:t>
                  </w:r>
                </w:p>
                <w:p w:rsidR="00667BB9" w:rsidRPr="00667BB9" w:rsidRDefault="00667BB9" w:rsidP="00667BB9">
                  <w:pPr>
                    <w:spacing w:after="0" w:line="240" w:lineRule="auto"/>
                    <w:jc w:val="both"/>
                    <w:rPr>
                      <w:rFonts w:ascii="Times New Roman" w:eastAsia="Times New Roman" w:hAnsi="Times New Roman" w:cs="Times New Roman"/>
                      <w:sz w:val="24"/>
                      <w:szCs w:val="24"/>
                      <w:lang w:eastAsia="es-CO"/>
                    </w:rPr>
                  </w:pPr>
                  <w:r w:rsidRPr="00667BB9">
                    <w:rPr>
                      <w:rFonts w:ascii="Segoe UI" w:eastAsia="Times New Roman" w:hAnsi="Segoe UI" w:cs="Segoe UI"/>
                      <w:b/>
                      <w:iCs/>
                      <w:sz w:val="20"/>
                      <w:lang w:eastAsia="es-CO"/>
                    </w:rPr>
                    <w:t>Publicada en D.O. 50.242 del 23 de mayo de 2017.</w:t>
                  </w:r>
                </w:p>
              </w:tc>
            </w:tr>
          </w:tbl>
          <w:p w:rsidR="00667BB9" w:rsidRPr="00667BB9" w:rsidRDefault="00667BB9" w:rsidP="00667BB9">
            <w:pPr>
              <w:spacing w:after="0" w:line="240" w:lineRule="auto"/>
              <w:rPr>
                <w:rFonts w:ascii="Times New Roman" w:eastAsia="Times New Roman" w:hAnsi="Times New Roman" w:cs="Times New Roman"/>
                <w:sz w:val="24"/>
                <w:szCs w:val="24"/>
                <w:lang w:eastAsia="es-CO"/>
              </w:rPr>
            </w:pPr>
          </w:p>
        </w:tc>
      </w:tr>
    </w:tbl>
    <w:p w:rsidR="00082113" w:rsidRPr="00667BB9" w:rsidRDefault="00082113" w:rsidP="00667BB9"/>
    <w:sectPr w:rsidR="00082113" w:rsidRPr="00667BB9">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BB9"/>
    <w:rsid w:val="00082113"/>
    <w:rsid w:val="001A0343"/>
    <w:rsid w:val="00667BB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EC3EA-C3FD-4396-ACB8-B14FFF92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extoceta">
    <w:name w:val="textoceta"/>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667BB9"/>
    <w:rPr>
      <w:color w:val="0000FF"/>
      <w:u w:val="single"/>
    </w:rPr>
  </w:style>
  <w:style w:type="character" w:styleId="Hipervnculovisitado">
    <w:name w:val="FollowedHyperlink"/>
    <w:basedOn w:val="Fuentedeprrafopredeter"/>
    <w:uiPriority w:val="99"/>
    <w:semiHidden/>
    <w:unhideWhenUsed/>
    <w:rsid w:val="00667BB9"/>
    <w:rPr>
      <w:color w:val="800080"/>
      <w:u w:val="single"/>
    </w:rPr>
  </w:style>
  <w:style w:type="paragraph" w:customStyle="1" w:styleId="pa21">
    <w:name w:val="pa21"/>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24">
    <w:name w:val="pa24"/>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4">
    <w:name w:val="pa4"/>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5">
    <w:name w:val="pa5"/>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26">
    <w:name w:val="pa26"/>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10">
    <w:name w:val="a10"/>
    <w:basedOn w:val="Fuentedeprrafopredeter"/>
    <w:rsid w:val="00667BB9"/>
  </w:style>
  <w:style w:type="paragraph" w:customStyle="1" w:styleId="pa27">
    <w:name w:val="pa27"/>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36">
    <w:name w:val="pa36"/>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38">
    <w:name w:val="pa38"/>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39">
    <w:name w:val="pa39"/>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30">
    <w:name w:val="pa30"/>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1">
    <w:name w:val="pa1"/>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a31">
    <w:name w:val="pa31"/>
    <w:basedOn w:val="Normal"/>
    <w:rsid w:val="00667BB9"/>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9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2481"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24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ta.org.co/html/vista_de_un_documento.asp?DocumentoID=31855" TargetMode="External"/><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7365</Words>
  <Characters>40510</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Lucia Yepes Cadavid</dc:creator>
  <cp:keywords/>
  <dc:description/>
  <cp:lastModifiedBy>HUGO TABARES</cp:lastModifiedBy>
  <cp:revision>2</cp:revision>
  <dcterms:created xsi:type="dcterms:W3CDTF">2017-05-30T16:01:00Z</dcterms:created>
  <dcterms:modified xsi:type="dcterms:W3CDTF">2017-05-30T16:01:00Z</dcterms:modified>
</cp:coreProperties>
</file>