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val="es-CO" w:eastAsia="en-US"/>
        </w:rPr>
        <w:id w:val="890855452"/>
        <w:docPartObj>
          <w:docPartGallery w:val="Table of Contents"/>
          <w:docPartUnique/>
        </w:docPartObj>
      </w:sdtPr>
      <w:sdtEndPr>
        <w:rPr>
          <w:b/>
          <w:bCs/>
        </w:rPr>
      </w:sdtEndPr>
      <w:sdtContent>
        <w:p w:rsidR="006C23C8" w:rsidRDefault="006C23C8" w:rsidP="00D46D08">
          <w:pPr>
            <w:pStyle w:val="TtulodeTDC"/>
            <w:tabs>
              <w:tab w:val="left" w:pos="2592"/>
            </w:tabs>
          </w:pPr>
          <w:r>
            <w:t>Contenido</w:t>
          </w:r>
          <w:r w:rsidR="00D46D08">
            <w:tab/>
          </w:r>
        </w:p>
        <w:p w:rsidR="00BD29E6" w:rsidRDefault="006C23C8">
          <w:pPr>
            <w:pStyle w:val="TDC1"/>
            <w:tabs>
              <w:tab w:val="left" w:pos="440"/>
              <w:tab w:val="right" w:leader="dot" w:pos="9590"/>
            </w:tabs>
            <w:rPr>
              <w:rFonts w:eastAsiaTheme="minorEastAsia"/>
              <w:noProof/>
              <w:lang w:eastAsia="es-CO"/>
            </w:rPr>
          </w:pPr>
          <w:r>
            <w:fldChar w:fldCharType="begin"/>
          </w:r>
          <w:r>
            <w:instrText xml:space="preserve"> TOC \o "1-3" \h \z \u </w:instrText>
          </w:r>
          <w:r>
            <w:fldChar w:fldCharType="separate"/>
          </w:r>
          <w:hyperlink w:anchor="_Toc489361172" w:history="1">
            <w:r w:rsidR="00BD29E6" w:rsidRPr="0045184B">
              <w:rPr>
                <w:rStyle w:val="Hipervnculo"/>
                <w:rFonts w:cstheme="majorHAnsi"/>
                <w:noProof/>
              </w:rPr>
              <w:t>1.</w:t>
            </w:r>
            <w:r w:rsidR="00BD29E6">
              <w:rPr>
                <w:rFonts w:eastAsiaTheme="minorEastAsia"/>
                <w:noProof/>
                <w:lang w:eastAsia="es-CO"/>
              </w:rPr>
              <w:tab/>
            </w:r>
            <w:r w:rsidR="00BD29E6" w:rsidRPr="0045184B">
              <w:rPr>
                <w:rStyle w:val="Hipervnculo"/>
                <w:rFonts w:cstheme="majorHAnsi"/>
                <w:noProof/>
              </w:rPr>
              <w:t>OBJETIVO</w:t>
            </w:r>
            <w:r w:rsidR="00BD29E6">
              <w:rPr>
                <w:noProof/>
                <w:webHidden/>
              </w:rPr>
              <w:tab/>
            </w:r>
            <w:r w:rsidR="00BD29E6">
              <w:rPr>
                <w:noProof/>
                <w:webHidden/>
              </w:rPr>
              <w:fldChar w:fldCharType="begin"/>
            </w:r>
            <w:r w:rsidR="00BD29E6">
              <w:rPr>
                <w:noProof/>
                <w:webHidden/>
              </w:rPr>
              <w:instrText xml:space="preserve"> PAGEREF _Toc489361172 \h </w:instrText>
            </w:r>
            <w:r w:rsidR="00BD29E6">
              <w:rPr>
                <w:noProof/>
                <w:webHidden/>
              </w:rPr>
            </w:r>
            <w:r w:rsidR="00BD29E6">
              <w:rPr>
                <w:noProof/>
                <w:webHidden/>
              </w:rPr>
              <w:fldChar w:fldCharType="separate"/>
            </w:r>
            <w:r w:rsidR="00BD29E6">
              <w:rPr>
                <w:noProof/>
                <w:webHidden/>
              </w:rPr>
              <w:t>2</w:t>
            </w:r>
            <w:r w:rsidR="00BD29E6">
              <w:rPr>
                <w:noProof/>
                <w:webHidden/>
              </w:rPr>
              <w:fldChar w:fldCharType="end"/>
            </w:r>
          </w:hyperlink>
        </w:p>
        <w:p w:rsidR="00BD29E6" w:rsidRDefault="00BD29E6">
          <w:pPr>
            <w:pStyle w:val="TDC2"/>
            <w:tabs>
              <w:tab w:val="right" w:leader="dot" w:pos="9590"/>
            </w:tabs>
            <w:rPr>
              <w:noProof/>
            </w:rPr>
          </w:pPr>
          <w:hyperlink w:anchor="_Toc489361173" w:history="1">
            <w:r w:rsidRPr="0045184B">
              <w:rPr>
                <w:rStyle w:val="Hipervnculo"/>
                <w:rFonts w:asciiTheme="majorHAnsi" w:hAnsiTheme="majorHAnsi" w:cstheme="majorHAnsi"/>
                <w:noProof/>
              </w:rPr>
              <w:t>Aportantes D según la Ley 1429 de 2010 y el pago de parafiscales de acuerdo la Ley 1607 de 2012</w:t>
            </w:r>
            <w:r>
              <w:rPr>
                <w:noProof/>
                <w:webHidden/>
              </w:rPr>
              <w:tab/>
            </w:r>
            <w:r>
              <w:rPr>
                <w:noProof/>
                <w:webHidden/>
              </w:rPr>
              <w:fldChar w:fldCharType="begin"/>
            </w:r>
            <w:r>
              <w:rPr>
                <w:noProof/>
                <w:webHidden/>
              </w:rPr>
              <w:instrText xml:space="preserve"> PAGEREF _Toc489361173 \h </w:instrText>
            </w:r>
            <w:r>
              <w:rPr>
                <w:noProof/>
                <w:webHidden/>
              </w:rPr>
            </w:r>
            <w:r>
              <w:rPr>
                <w:noProof/>
                <w:webHidden/>
              </w:rPr>
              <w:fldChar w:fldCharType="separate"/>
            </w:r>
            <w:r>
              <w:rPr>
                <w:noProof/>
                <w:webHidden/>
              </w:rPr>
              <w:t>2</w:t>
            </w:r>
            <w:r>
              <w:rPr>
                <w:noProof/>
                <w:webHidden/>
              </w:rPr>
              <w:fldChar w:fldCharType="end"/>
            </w:r>
          </w:hyperlink>
        </w:p>
        <w:p w:rsidR="00BD29E6" w:rsidRDefault="00BD29E6">
          <w:pPr>
            <w:pStyle w:val="TDC3"/>
            <w:tabs>
              <w:tab w:val="right" w:leader="dot" w:pos="9590"/>
            </w:tabs>
            <w:rPr>
              <w:noProof/>
            </w:rPr>
          </w:pPr>
          <w:hyperlink w:anchor="_Toc489361174" w:history="1">
            <w:r w:rsidRPr="0045184B">
              <w:rPr>
                <w:rStyle w:val="Hipervnculo"/>
                <w:rFonts w:cstheme="majorHAnsi"/>
                <w:noProof/>
              </w:rPr>
              <w:t>Ante los cambios que la Resolución 1300 de 2013 plantea en la forma de gestionar la Planilla Integrada de Liquidación de Aportes (PILA), es importante tener presente a quienes beneficia y sobre cuáles condiciones lo hace.</w:t>
            </w:r>
            <w:r>
              <w:rPr>
                <w:noProof/>
                <w:webHidden/>
              </w:rPr>
              <w:tab/>
            </w:r>
            <w:r>
              <w:rPr>
                <w:noProof/>
                <w:webHidden/>
              </w:rPr>
              <w:fldChar w:fldCharType="begin"/>
            </w:r>
            <w:r>
              <w:rPr>
                <w:noProof/>
                <w:webHidden/>
              </w:rPr>
              <w:instrText xml:space="preserve"> PAGEREF _Toc489361174 \h </w:instrText>
            </w:r>
            <w:r>
              <w:rPr>
                <w:noProof/>
                <w:webHidden/>
              </w:rPr>
            </w:r>
            <w:r>
              <w:rPr>
                <w:noProof/>
                <w:webHidden/>
              </w:rPr>
              <w:fldChar w:fldCharType="separate"/>
            </w:r>
            <w:r>
              <w:rPr>
                <w:noProof/>
                <w:webHidden/>
              </w:rPr>
              <w:t>2</w:t>
            </w:r>
            <w:r>
              <w:rPr>
                <w:noProof/>
                <w:webHidden/>
              </w:rPr>
              <w:fldChar w:fldCharType="end"/>
            </w:r>
          </w:hyperlink>
        </w:p>
        <w:p w:rsidR="00BD29E6" w:rsidRDefault="00BD29E6">
          <w:pPr>
            <w:pStyle w:val="TDC1"/>
            <w:tabs>
              <w:tab w:val="left" w:pos="440"/>
              <w:tab w:val="right" w:leader="dot" w:pos="9590"/>
            </w:tabs>
            <w:rPr>
              <w:rFonts w:eastAsiaTheme="minorEastAsia"/>
              <w:noProof/>
              <w:lang w:eastAsia="es-CO"/>
            </w:rPr>
          </w:pPr>
          <w:hyperlink w:anchor="_Toc489361175" w:history="1">
            <w:r w:rsidRPr="0045184B">
              <w:rPr>
                <w:rStyle w:val="Hipervnculo"/>
                <w:rFonts w:cstheme="majorHAnsi"/>
                <w:noProof/>
              </w:rPr>
              <w:t>2.</w:t>
            </w:r>
            <w:r>
              <w:rPr>
                <w:rFonts w:eastAsiaTheme="minorEastAsia"/>
                <w:noProof/>
                <w:lang w:eastAsia="es-CO"/>
              </w:rPr>
              <w:tab/>
            </w:r>
            <w:r w:rsidRPr="0045184B">
              <w:rPr>
                <w:rStyle w:val="Hipervnculo"/>
                <w:rFonts w:cstheme="majorHAnsi"/>
                <w:noProof/>
              </w:rPr>
              <w:t>PROCESO/ACTIVIDADES</w:t>
            </w:r>
            <w:r>
              <w:rPr>
                <w:noProof/>
                <w:webHidden/>
              </w:rPr>
              <w:tab/>
            </w:r>
            <w:r>
              <w:rPr>
                <w:noProof/>
                <w:webHidden/>
              </w:rPr>
              <w:fldChar w:fldCharType="begin"/>
            </w:r>
            <w:r>
              <w:rPr>
                <w:noProof/>
                <w:webHidden/>
              </w:rPr>
              <w:instrText xml:space="preserve"> PAGEREF _Toc489361175 \h </w:instrText>
            </w:r>
            <w:r>
              <w:rPr>
                <w:noProof/>
                <w:webHidden/>
              </w:rPr>
            </w:r>
            <w:r>
              <w:rPr>
                <w:noProof/>
                <w:webHidden/>
              </w:rPr>
              <w:fldChar w:fldCharType="separate"/>
            </w:r>
            <w:r>
              <w:rPr>
                <w:noProof/>
                <w:webHidden/>
              </w:rPr>
              <w:t>3</w:t>
            </w:r>
            <w:r>
              <w:rPr>
                <w:noProof/>
                <w:webHidden/>
              </w:rPr>
              <w:fldChar w:fldCharType="end"/>
            </w:r>
          </w:hyperlink>
        </w:p>
        <w:p w:rsidR="006C23C8" w:rsidRDefault="006C23C8">
          <w:r>
            <w:rPr>
              <w:b/>
              <w:bCs/>
            </w:rPr>
            <w:fldChar w:fldCharType="end"/>
          </w:r>
        </w:p>
      </w:sdtContent>
    </w:sdt>
    <w:p w:rsidR="00547841" w:rsidRDefault="00547841">
      <w:bookmarkStart w:id="0" w:name="_GoBack"/>
      <w:r>
        <w:br w:type="page"/>
      </w:r>
    </w:p>
    <w:bookmarkEnd w:id="0"/>
    <w:p w:rsidR="00547841" w:rsidRPr="005C5BB2" w:rsidRDefault="00547841" w:rsidP="00547841">
      <w:pPr>
        <w:rPr>
          <w:rFonts w:asciiTheme="majorHAnsi" w:hAnsiTheme="majorHAnsi" w:cstheme="majorHAnsi"/>
          <w:sz w:val="24"/>
          <w:szCs w:val="24"/>
        </w:rPr>
      </w:pPr>
    </w:p>
    <w:p w:rsidR="00547841" w:rsidRDefault="00547841" w:rsidP="00547841">
      <w:pPr>
        <w:pStyle w:val="Ttulo1"/>
        <w:numPr>
          <w:ilvl w:val="0"/>
          <w:numId w:val="3"/>
        </w:numPr>
        <w:rPr>
          <w:rFonts w:cstheme="majorHAnsi"/>
          <w:sz w:val="24"/>
          <w:szCs w:val="24"/>
        </w:rPr>
      </w:pPr>
      <w:bookmarkStart w:id="1" w:name="_Toc489361172"/>
      <w:r w:rsidRPr="005C5BB2">
        <w:rPr>
          <w:rFonts w:cstheme="majorHAnsi"/>
          <w:sz w:val="24"/>
          <w:szCs w:val="24"/>
        </w:rPr>
        <w:t>OBJETIVO</w:t>
      </w:r>
      <w:bookmarkEnd w:id="1"/>
    </w:p>
    <w:p w:rsidR="00770813" w:rsidRPr="00770813" w:rsidRDefault="00770813" w:rsidP="00770813">
      <w:pPr>
        <w:pStyle w:val="Ttulo2"/>
        <w:rPr>
          <w:rFonts w:asciiTheme="majorHAnsi" w:hAnsiTheme="majorHAnsi" w:cstheme="majorHAnsi"/>
          <w:sz w:val="22"/>
          <w:szCs w:val="22"/>
        </w:rPr>
      </w:pPr>
      <w:bookmarkStart w:id="2" w:name="_Toc489361173"/>
      <w:r w:rsidRPr="00770813">
        <w:rPr>
          <w:rFonts w:asciiTheme="majorHAnsi" w:hAnsiTheme="majorHAnsi" w:cstheme="majorHAnsi"/>
          <w:sz w:val="22"/>
          <w:szCs w:val="22"/>
        </w:rPr>
        <w:t>Aportantes D según la Ley 1429 de 2010 y el pago de parafiscales de acuerdo la Ley 1607 de 2012</w:t>
      </w:r>
      <w:bookmarkEnd w:id="2"/>
    </w:p>
    <w:p w:rsidR="00770813" w:rsidRPr="00770813" w:rsidRDefault="00770813" w:rsidP="00770813">
      <w:pPr>
        <w:pStyle w:val="Ttulo3"/>
        <w:rPr>
          <w:rFonts w:cstheme="majorHAnsi"/>
          <w:sz w:val="22"/>
          <w:szCs w:val="22"/>
        </w:rPr>
      </w:pPr>
      <w:bookmarkStart w:id="3" w:name="_Toc489361174"/>
      <w:r w:rsidRPr="00770813">
        <w:rPr>
          <w:rFonts w:cstheme="majorHAnsi"/>
          <w:sz w:val="22"/>
          <w:szCs w:val="22"/>
        </w:rPr>
        <w:t>Ante los cambios que la Resolución 1300 de 2013 plantea en la forma de gestionar la Planilla Integrada de Liquidación de Aportes (PILA), es importante tener presente a quienes beneficia y sobre cuáles condiciones lo hace.</w:t>
      </w:r>
      <w:bookmarkEnd w:id="3"/>
    </w:p>
    <w:p w:rsidR="00770813" w:rsidRPr="00770813" w:rsidRDefault="00770813" w:rsidP="00770813">
      <w:pPr>
        <w:pStyle w:val="NormalWeb"/>
        <w:rPr>
          <w:rFonts w:asciiTheme="majorHAnsi" w:hAnsiTheme="majorHAnsi" w:cstheme="majorHAnsi"/>
          <w:sz w:val="22"/>
          <w:szCs w:val="22"/>
        </w:rPr>
      </w:pPr>
      <w:r w:rsidRPr="00770813">
        <w:rPr>
          <w:rFonts w:asciiTheme="majorHAnsi" w:hAnsiTheme="majorHAnsi" w:cstheme="majorHAnsi"/>
          <w:sz w:val="22"/>
          <w:szCs w:val="22"/>
        </w:rPr>
        <w:t>De acuerdo con la Ley 1429 de 2010 y el Decreto 545 de 2011, el Gobierno Nacional definió las características de aquellas empresas que con el propósito de motivar la creación de empleo, se podrían ver beneficiadas con una figura que ayudaría a alivianar las cargas de su nómina dentro de los primeros años de existencia, como lo es la reducción en el costo correspondiente a parafiscales. Son definidas como aportantes clase D.</w:t>
      </w:r>
    </w:p>
    <w:p w:rsidR="00770813" w:rsidRPr="00770813" w:rsidRDefault="00770813" w:rsidP="00770813">
      <w:pPr>
        <w:pStyle w:val="NormalWeb"/>
        <w:rPr>
          <w:rFonts w:asciiTheme="majorHAnsi" w:hAnsiTheme="majorHAnsi" w:cstheme="majorHAnsi"/>
          <w:sz w:val="22"/>
          <w:szCs w:val="22"/>
        </w:rPr>
      </w:pPr>
      <w:r w:rsidRPr="00770813">
        <w:rPr>
          <w:rFonts w:asciiTheme="majorHAnsi" w:hAnsiTheme="majorHAnsi" w:cstheme="majorHAnsi"/>
          <w:sz w:val="22"/>
          <w:szCs w:val="22"/>
        </w:rPr>
        <w:t>Para acceder a dicho beneficio, estas empresas deberían contar con menos de cincuenta empleados y el valor de sus activos no podría ser superior a los 5.000 salarios mínimos legales mensuales vigentes. Las mencionadas condiciones deberían ser manifestadas por la empresa bajo gravedad de juramento en el momento de su registro en la Cámara de Comercio de su jurisdicción.</w:t>
      </w:r>
    </w:p>
    <w:p w:rsidR="00770813" w:rsidRPr="00770813" w:rsidRDefault="00770813" w:rsidP="00770813">
      <w:pPr>
        <w:pStyle w:val="NormalWeb"/>
        <w:rPr>
          <w:rFonts w:asciiTheme="majorHAnsi" w:hAnsiTheme="majorHAnsi" w:cstheme="majorHAnsi"/>
          <w:b/>
          <w:sz w:val="22"/>
          <w:szCs w:val="22"/>
        </w:rPr>
      </w:pPr>
      <w:r w:rsidRPr="00770813">
        <w:rPr>
          <w:rFonts w:asciiTheme="majorHAnsi" w:hAnsiTheme="majorHAnsi" w:cstheme="majorHAnsi"/>
          <w:b/>
          <w:sz w:val="22"/>
          <w:szCs w:val="22"/>
        </w:rPr>
        <w:t>Entre otras particularidades, estas empresas llevarían a cabo el pago de aportes parafiscales a SENA, ICBF y Caja de Compensación Familiar de manera progresiva durante cinco años, donde el primer y segundo año pagarían 0% de la tarifa normal o plena, 25% de dicha tarifa en el tercer año, 50% en el cuarto, 75% en el quinto.</w:t>
      </w:r>
    </w:p>
    <w:p w:rsidR="00770813" w:rsidRDefault="00770813" w:rsidP="00770813">
      <w:pPr>
        <w:pStyle w:val="NormalWeb"/>
      </w:pPr>
      <w:r>
        <w:t> </w:t>
      </w:r>
    </w:p>
    <w:p w:rsidR="00770813" w:rsidRDefault="00770813" w:rsidP="00770813">
      <w:pPr>
        <w:rPr>
          <w:rFonts w:ascii="Times New Roman" w:eastAsia="Times New Roman" w:hAnsi="Times New Roman" w:cs="Times New Roman"/>
          <w:sz w:val="24"/>
          <w:szCs w:val="24"/>
          <w:lang w:eastAsia="es-CO"/>
        </w:rPr>
      </w:pPr>
      <w:r>
        <w:br w:type="page"/>
      </w:r>
    </w:p>
    <w:p w:rsidR="00547841" w:rsidRDefault="00547841" w:rsidP="00547841">
      <w:pPr>
        <w:pStyle w:val="Ttulo1"/>
        <w:numPr>
          <w:ilvl w:val="0"/>
          <w:numId w:val="3"/>
        </w:numPr>
        <w:rPr>
          <w:rFonts w:cstheme="majorHAnsi"/>
          <w:sz w:val="24"/>
          <w:szCs w:val="24"/>
        </w:rPr>
      </w:pPr>
      <w:bookmarkStart w:id="4" w:name="_Toc489361175"/>
      <w:r w:rsidRPr="005C5BB2">
        <w:rPr>
          <w:rFonts w:cstheme="majorHAnsi"/>
          <w:sz w:val="24"/>
          <w:szCs w:val="24"/>
        </w:rPr>
        <w:lastRenderedPageBreak/>
        <w:t>PROCESO/ACTIVIDADES</w:t>
      </w:r>
      <w:bookmarkEnd w:id="4"/>
    </w:p>
    <w:p w:rsidR="00770813" w:rsidRDefault="00770813" w:rsidP="00770813">
      <w:pPr>
        <w:ind w:left="720"/>
      </w:pPr>
    </w:p>
    <w:p w:rsidR="00770813" w:rsidRDefault="00770813" w:rsidP="00770813">
      <w:pPr>
        <w:pStyle w:val="Prrafodelista"/>
        <w:numPr>
          <w:ilvl w:val="1"/>
          <w:numId w:val="3"/>
        </w:numPr>
      </w:pPr>
      <w:r>
        <w:t xml:space="preserve">Configurar la variable de usuario </w:t>
      </w:r>
      <w:r w:rsidRPr="00770813">
        <w:t>Mllg:PrfConcepto</w:t>
      </w:r>
      <w:r>
        <w:t xml:space="preserve"> y en el dato colocar el concepto con el cual se realizara la configuración para esta ley</w:t>
      </w:r>
    </w:p>
    <w:p w:rsidR="00770813" w:rsidRDefault="00770813" w:rsidP="00770813">
      <w:r>
        <w:t>Gestión de Nomina</w:t>
      </w:r>
    </w:p>
    <w:p w:rsidR="00770813" w:rsidRDefault="00770813" w:rsidP="00770813">
      <w:r>
        <w:rPr>
          <w:noProof/>
          <w:lang w:eastAsia="es-CO"/>
        </w:rPr>
        <w:drawing>
          <wp:inline distT="0" distB="0" distL="0" distR="0" wp14:anchorId="2C783294" wp14:editId="34C79F8F">
            <wp:extent cx="6096000" cy="2059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000" cy="2059305"/>
                    </a:xfrm>
                    <a:prstGeom prst="rect">
                      <a:avLst/>
                    </a:prstGeom>
                  </pic:spPr>
                </pic:pic>
              </a:graphicData>
            </a:graphic>
          </wp:inline>
        </w:drawing>
      </w:r>
    </w:p>
    <w:p w:rsidR="00770813" w:rsidRDefault="00770813" w:rsidP="00770813"/>
    <w:p w:rsidR="00770813" w:rsidRDefault="00770813" w:rsidP="00770813">
      <w:r>
        <w:rPr>
          <w:noProof/>
          <w:lang w:eastAsia="es-CO"/>
        </w:rPr>
        <w:lastRenderedPageBreak/>
        <w:drawing>
          <wp:inline distT="0" distB="0" distL="0" distR="0" wp14:anchorId="68EC39FE" wp14:editId="3D3B4D08">
            <wp:extent cx="6096000" cy="395795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000" cy="3957955"/>
                    </a:xfrm>
                    <a:prstGeom prst="rect">
                      <a:avLst/>
                    </a:prstGeom>
                  </pic:spPr>
                </pic:pic>
              </a:graphicData>
            </a:graphic>
          </wp:inline>
        </w:drawing>
      </w:r>
    </w:p>
    <w:p w:rsidR="00770813" w:rsidRDefault="00770813" w:rsidP="00770813"/>
    <w:p w:rsidR="00770813" w:rsidRDefault="00770813" w:rsidP="00770813"/>
    <w:p w:rsidR="00770813" w:rsidRDefault="00770813" w:rsidP="00770813">
      <w:r>
        <w:rPr>
          <w:noProof/>
          <w:lang w:eastAsia="es-CO"/>
        </w:rPr>
        <w:drawing>
          <wp:inline distT="0" distB="0" distL="0" distR="0" wp14:anchorId="228E3AD4" wp14:editId="7E6EE13A">
            <wp:extent cx="6096000" cy="14370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000" cy="1437005"/>
                    </a:xfrm>
                    <a:prstGeom prst="rect">
                      <a:avLst/>
                    </a:prstGeom>
                  </pic:spPr>
                </pic:pic>
              </a:graphicData>
            </a:graphic>
          </wp:inline>
        </w:drawing>
      </w:r>
    </w:p>
    <w:p w:rsidR="00770813" w:rsidRDefault="00770813" w:rsidP="00770813"/>
    <w:p w:rsidR="00770813" w:rsidRDefault="00770813" w:rsidP="00770813">
      <w:r>
        <w:rPr>
          <w:noProof/>
          <w:lang w:eastAsia="es-CO"/>
        </w:rPr>
        <w:lastRenderedPageBreak/>
        <w:drawing>
          <wp:inline distT="0" distB="0" distL="0" distR="0" wp14:anchorId="68B38A12" wp14:editId="31D8B15C">
            <wp:extent cx="6096000" cy="1994535"/>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6000" cy="1994535"/>
                    </a:xfrm>
                    <a:prstGeom prst="rect">
                      <a:avLst/>
                    </a:prstGeom>
                  </pic:spPr>
                </pic:pic>
              </a:graphicData>
            </a:graphic>
          </wp:inline>
        </w:drawing>
      </w:r>
    </w:p>
    <w:p w:rsidR="005E220C" w:rsidRDefault="005E220C">
      <w:r>
        <w:br w:type="page"/>
      </w:r>
    </w:p>
    <w:p w:rsidR="005E220C" w:rsidRDefault="005E220C" w:rsidP="00770813"/>
    <w:p w:rsidR="00770813" w:rsidRPr="00770813" w:rsidRDefault="005E220C" w:rsidP="00770813">
      <w:pPr>
        <w:pStyle w:val="Prrafodelista"/>
        <w:numPr>
          <w:ilvl w:val="1"/>
          <w:numId w:val="3"/>
        </w:numPr>
      </w:pPr>
      <w:r>
        <w:t>Configurar las siguientes variables en el concepto definido en el proceso anterior.</w:t>
      </w:r>
    </w:p>
    <w:p w:rsidR="00547841" w:rsidRDefault="005E220C" w:rsidP="00547841">
      <w:pPr>
        <w:pStyle w:val="Textoindependiente"/>
        <w:spacing w:before="4"/>
        <w:rPr>
          <w:rFonts w:asciiTheme="majorHAnsi" w:hAnsiTheme="majorHAnsi" w:cstheme="majorHAnsi"/>
        </w:rPr>
      </w:pPr>
      <w:r>
        <w:rPr>
          <w:noProof/>
          <w:lang w:val="es-CO" w:eastAsia="es-CO"/>
        </w:rPr>
        <w:drawing>
          <wp:inline distT="0" distB="0" distL="0" distR="0" wp14:anchorId="7F4CB26E" wp14:editId="18BA76B0">
            <wp:extent cx="5248275" cy="39052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8275" cy="3905250"/>
                    </a:xfrm>
                    <a:prstGeom prst="rect">
                      <a:avLst/>
                    </a:prstGeom>
                  </pic:spPr>
                </pic:pic>
              </a:graphicData>
            </a:graphic>
          </wp:inline>
        </w:drawing>
      </w:r>
    </w:p>
    <w:p w:rsidR="005E220C" w:rsidRDefault="005E220C" w:rsidP="00547841">
      <w:pPr>
        <w:pStyle w:val="Textoindependiente"/>
        <w:spacing w:before="4"/>
        <w:rPr>
          <w:rFonts w:asciiTheme="majorHAnsi" w:hAnsiTheme="majorHAnsi" w:cstheme="majorHAnsi"/>
        </w:rPr>
      </w:pPr>
      <w:r>
        <w:rPr>
          <w:noProof/>
          <w:lang w:val="es-CO" w:eastAsia="es-CO"/>
        </w:rPr>
        <w:lastRenderedPageBreak/>
        <w:drawing>
          <wp:inline distT="0" distB="0" distL="0" distR="0" wp14:anchorId="585ABA99" wp14:editId="52306607">
            <wp:extent cx="6096000" cy="2413635"/>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6000" cy="2413635"/>
                    </a:xfrm>
                    <a:prstGeom prst="rect">
                      <a:avLst/>
                    </a:prstGeom>
                  </pic:spPr>
                </pic:pic>
              </a:graphicData>
            </a:graphic>
          </wp:inline>
        </w:drawing>
      </w:r>
    </w:p>
    <w:p w:rsidR="005E220C" w:rsidRDefault="005E220C" w:rsidP="00547841">
      <w:pPr>
        <w:pStyle w:val="Textoindependiente"/>
        <w:spacing w:before="4"/>
        <w:rPr>
          <w:rFonts w:asciiTheme="majorHAnsi" w:hAnsiTheme="majorHAnsi" w:cstheme="majorHAnsi"/>
        </w:rPr>
      </w:pPr>
    </w:p>
    <w:p w:rsidR="005E220C" w:rsidRDefault="005E220C" w:rsidP="00547841">
      <w:pPr>
        <w:pStyle w:val="Textoindependiente"/>
        <w:spacing w:before="4"/>
        <w:rPr>
          <w:rFonts w:asciiTheme="majorHAnsi" w:hAnsiTheme="majorHAnsi" w:cstheme="majorHAnsi"/>
        </w:rPr>
      </w:pPr>
    </w:p>
    <w:p w:rsidR="005E220C" w:rsidRDefault="005E220C" w:rsidP="00547841">
      <w:pPr>
        <w:pStyle w:val="Textoindependiente"/>
        <w:spacing w:before="4"/>
        <w:rPr>
          <w:rFonts w:asciiTheme="majorHAnsi" w:hAnsiTheme="majorHAnsi" w:cstheme="majorHAnsi"/>
        </w:rPr>
      </w:pPr>
    </w:p>
    <w:p w:rsidR="005E220C" w:rsidRDefault="005E220C" w:rsidP="00547841">
      <w:pPr>
        <w:pStyle w:val="Textoindependiente"/>
        <w:spacing w:before="4"/>
        <w:rPr>
          <w:rFonts w:asciiTheme="majorHAnsi" w:hAnsiTheme="majorHAnsi" w:cstheme="majorHAnsi"/>
        </w:rPr>
      </w:pPr>
      <w:r>
        <w:rPr>
          <w:noProof/>
          <w:lang w:val="es-CO" w:eastAsia="es-CO"/>
        </w:rPr>
        <w:drawing>
          <wp:inline distT="0" distB="0" distL="0" distR="0" wp14:anchorId="06C29185" wp14:editId="11BA85F8">
            <wp:extent cx="6096000" cy="227520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000" cy="2275205"/>
                    </a:xfrm>
                    <a:prstGeom prst="rect">
                      <a:avLst/>
                    </a:prstGeom>
                  </pic:spPr>
                </pic:pic>
              </a:graphicData>
            </a:graphic>
          </wp:inline>
        </w:drawing>
      </w:r>
    </w:p>
    <w:p w:rsidR="005E220C" w:rsidRDefault="005E220C">
      <w:pPr>
        <w:rPr>
          <w:rFonts w:asciiTheme="majorHAnsi" w:eastAsia="Arial" w:hAnsiTheme="majorHAnsi" w:cstheme="majorHAnsi"/>
          <w:sz w:val="24"/>
          <w:szCs w:val="24"/>
          <w:lang w:val="en-US"/>
        </w:rPr>
      </w:pPr>
      <w:r>
        <w:rPr>
          <w:rFonts w:asciiTheme="majorHAnsi" w:hAnsiTheme="majorHAnsi" w:cstheme="majorHAnsi"/>
        </w:rPr>
        <w:br w:type="page"/>
      </w:r>
    </w:p>
    <w:p w:rsidR="00770813" w:rsidRDefault="005E220C" w:rsidP="00547841">
      <w:pPr>
        <w:pStyle w:val="Textoindependiente"/>
        <w:spacing w:before="4"/>
        <w:rPr>
          <w:rFonts w:asciiTheme="majorHAnsi" w:hAnsiTheme="majorHAnsi" w:cstheme="majorHAnsi"/>
        </w:rPr>
      </w:pPr>
      <w:r w:rsidRPr="005E220C">
        <w:rPr>
          <w:rFonts w:asciiTheme="majorHAnsi" w:hAnsiTheme="majorHAnsi" w:cstheme="majorHAnsi"/>
        </w:rPr>
        <w:lastRenderedPageBreak/>
        <w:t>MLLG4:porcCAJA</w:t>
      </w:r>
      <w:r>
        <w:rPr>
          <w:rFonts w:asciiTheme="majorHAnsi" w:hAnsiTheme="majorHAnsi" w:cstheme="majorHAnsi"/>
        </w:rPr>
        <w:t xml:space="preserve">    Porcentaje aplicado a caja dato 300</w:t>
      </w:r>
    </w:p>
    <w:p w:rsidR="005E220C" w:rsidRDefault="005E220C" w:rsidP="00547841">
      <w:pPr>
        <w:pStyle w:val="Textoindependiente"/>
        <w:spacing w:before="4"/>
        <w:rPr>
          <w:rFonts w:asciiTheme="majorHAnsi" w:hAnsiTheme="majorHAnsi" w:cstheme="majorHAnsi"/>
        </w:rPr>
      </w:pPr>
    </w:p>
    <w:p w:rsidR="005E220C" w:rsidRDefault="005E220C" w:rsidP="00547841">
      <w:pPr>
        <w:pStyle w:val="Textoindependiente"/>
        <w:spacing w:before="4"/>
        <w:rPr>
          <w:rFonts w:asciiTheme="majorHAnsi" w:hAnsiTheme="majorHAnsi" w:cstheme="majorHAnsi"/>
        </w:rPr>
      </w:pPr>
      <w:r w:rsidRPr="005E220C">
        <w:rPr>
          <w:rFonts w:asciiTheme="majorHAnsi" w:hAnsiTheme="majorHAnsi" w:cstheme="majorHAnsi"/>
        </w:rPr>
        <w:t>MLLG4:porcICBF</w:t>
      </w:r>
      <w:r>
        <w:rPr>
          <w:rFonts w:asciiTheme="majorHAnsi" w:hAnsiTheme="majorHAnsi" w:cstheme="majorHAnsi"/>
        </w:rPr>
        <w:t xml:space="preserve">     Porcentaje aplicado a caja dato 225</w:t>
      </w:r>
    </w:p>
    <w:p w:rsidR="005E220C" w:rsidRDefault="005E220C" w:rsidP="00547841">
      <w:pPr>
        <w:pStyle w:val="Textoindependiente"/>
        <w:spacing w:before="4"/>
        <w:rPr>
          <w:rFonts w:asciiTheme="majorHAnsi" w:hAnsiTheme="majorHAnsi" w:cstheme="majorHAnsi"/>
        </w:rPr>
      </w:pPr>
    </w:p>
    <w:p w:rsidR="005E220C" w:rsidRDefault="005E220C" w:rsidP="00547841">
      <w:pPr>
        <w:pStyle w:val="Textoindependiente"/>
        <w:spacing w:before="4"/>
        <w:rPr>
          <w:rFonts w:asciiTheme="majorHAnsi" w:hAnsiTheme="majorHAnsi" w:cstheme="majorHAnsi"/>
        </w:rPr>
      </w:pPr>
      <w:r w:rsidRPr="005E220C">
        <w:rPr>
          <w:rFonts w:asciiTheme="majorHAnsi" w:hAnsiTheme="majorHAnsi" w:cstheme="majorHAnsi"/>
        </w:rPr>
        <w:t>MLLG4:porcSENA</w:t>
      </w:r>
      <w:r>
        <w:rPr>
          <w:rFonts w:asciiTheme="majorHAnsi" w:hAnsiTheme="majorHAnsi" w:cstheme="majorHAnsi"/>
        </w:rPr>
        <w:t xml:space="preserve">   Porcentaje aplicado a caja dato 175</w:t>
      </w:r>
    </w:p>
    <w:p w:rsidR="006B2D82" w:rsidRDefault="006B2D82" w:rsidP="00547841">
      <w:pPr>
        <w:pStyle w:val="Textoindependiente"/>
        <w:spacing w:before="4"/>
        <w:rPr>
          <w:rFonts w:asciiTheme="majorHAnsi" w:hAnsiTheme="majorHAnsi" w:cstheme="majorHAnsi"/>
        </w:rPr>
      </w:pPr>
    </w:p>
    <w:p w:rsidR="006B2D82" w:rsidRDefault="006B2D82" w:rsidP="00547841">
      <w:pPr>
        <w:pStyle w:val="Textoindependiente"/>
        <w:spacing w:before="4"/>
        <w:rPr>
          <w:rFonts w:asciiTheme="majorHAnsi" w:hAnsiTheme="majorHAnsi" w:cstheme="majorHAnsi"/>
        </w:rPr>
      </w:pPr>
      <w:r>
        <w:rPr>
          <w:rFonts w:asciiTheme="majorHAnsi" w:hAnsiTheme="majorHAnsi" w:cstheme="majorHAnsi"/>
        </w:rPr>
        <w:t xml:space="preserve">El dato debe ir ccomo se muestra </w:t>
      </w:r>
      <w:r w:rsidRPr="006B2D82">
        <w:rPr>
          <w:rFonts w:asciiTheme="majorHAnsi" w:hAnsiTheme="majorHAnsi" w:cstheme="majorHAnsi"/>
        </w:rPr>
        <w:t>(porque hay que multiplicarlo por 100</w:t>
      </w:r>
      <w:r>
        <w:rPr>
          <w:rFonts w:asciiTheme="majorHAnsi" w:hAnsiTheme="majorHAnsi" w:cstheme="majorHAnsi"/>
        </w:rPr>
        <w:t>)</w:t>
      </w:r>
    </w:p>
    <w:p w:rsidR="006B2D82" w:rsidRDefault="006B2D82" w:rsidP="00547841">
      <w:pPr>
        <w:pStyle w:val="Textoindependiente"/>
        <w:spacing w:before="4"/>
        <w:rPr>
          <w:rFonts w:asciiTheme="majorHAnsi" w:hAnsiTheme="majorHAnsi" w:cstheme="majorHAnsi"/>
        </w:rPr>
      </w:pPr>
    </w:p>
    <w:p w:rsidR="006B2D82" w:rsidRDefault="006B2D82" w:rsidP="00547841">
      <w:pPr>
        <w:pStyle w:val="Textoindependiente"/>
        <w:spacing w:before="4"/>
        <w:rPr>
          <w:rFonts w:asciiTheme="majorHAnsi" w:hAnsiTheme="majorHAnsi" w:cstheme="majorHAnsi"/>
        </w:rPr>
      </w:pPr>
    </w:p>
    <w:p w:rsidR="006B2D82" w:rsidRDefault="006B2D82" w:rsidP="00547841">
      <w:pPr>
        <w:pStyle w:val="Textoindependiente"/>
        <w:spacing w:before="4"/>
        <w:rPr>
          <w:rFonts w:asciiTheme="majorHAnsi" w:hAnsiTheme="majorHAnsi" w:cstheme="majorHAnsi"/>
        </w:rPr>
      </w:pPr>
    </w:p>
    <w:p w:rsidR="006B2D82" w:rsidRPr="005C5BB2" w:rsidRDefault="006B2D82" w:rsidP="00547841">
      <w:pPr>
        <w:pStyle w:val="Textoindependiente"/>
        <w:spacing w:before="4"/>
        <w:rPr>
          <w:rFonts w:asciiTheme="majorHAnsi" w:hAnsiTheme="majorHAnsi" w:cstheme="majorHAnsi"/>
        </w:rPr>
      </w:pPr>
      <w:r>
        <w:rPr>
          <w:rFonts w:asciiTheme="majorHAnsi" w:hAnsiTheme="majorHAnsi" w:cstheme="majorHAnsi"/>
        </w:rPr>
        <w:t>Cada que se desee cambiar la progresividad de esta ley se deben modificar los porcentajes, las variables deben ir por cada division que necesite este proceso</w:t>
      </w:r>
    </w:p>
    <w:sectPr w:rsidR="006B2D82" w:rsidRPr="005C5BB2" w:rsidSect="004616AC">
      <w:headerReference w:type="default" r:id="rId15"/>
      <w:footerReference w:type="default" r:id="rId16"/>
      <w:pgSz w:w="12240" w:h="15840"/>
      <w:pgMar w:top="2840" w:right="1160" w:bottom="1740" w:left="1480" w:header="703" w:footer="1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E0" w:rsidRDefault="00A458E0" w:rsidP="001F4108">
      <w:pPr>
        <w:spacing w:after="0" w:line="240" w:lineRule="auto"/>
      </w:pPr>
      <w:r>
        <w:separator/>
      </w:r>
    </w:p>
  </w:endnote>
  <w:endnote w:type="continuationSeparator" w:id="0">
    <w:p w:rsidR="00A458E0" w:rsidRDefault="00A458E0" w:rsidP="001F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r>
      <w:tab/>
    </w:r>
    <w:r w:rsidRPr="009425BA">
      <w:rPr>
        <w:rFonts w:cs="Arial"/>
        <w:bCs/>
        <w:sz w:val="16"/>
        <w:szCs w:val="20"/>
      </w:rPr>
      <w:t>Sede Medellín: Calle 16 # 41 -210 Edificio La Compañía Ofi. 706 Tel. (+57 4) 604 46 46 -</w:t>
    </w:r>
  </w:p>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r w:rsidRPr="009425BA">
      <w:rPr>
        <w:rFonts w:cs="Arial"/>
        <w:bCs/>
        <w:sz w:val="16"/>
        <w:szCs w:val="20"/>
      </w:rPr>
      <w:t xml:space="preserve"> (+57 4) 444 46 81 Fax. (+57 4) 311 39 10</w:t>
    </w:r>
  </w:p>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r w:rsidRPr="009425BA">
      <w:rPr>
        <w:rFonts w:cs="Arial"/>
        <w:bCs/>
        <w:sz w:val="16"/>
        <w:szCs w:val="20"/>
      </w:rPr>
      <w:t xml:space="preserve">Sede Bogotá: Calle 114A #45-32 Of. 246 </w:t>
    </w:r>
    <w:r w:rsidRPr="009425BA">
      <w:rPr>
        <w:sz w:val="16"/>
        <w:szCs w:val="20"/>
      </w:rPr>
      <w:t>Tel (+571) 744 11 30</w:t>
    </w:r>
  </w:p>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lang w:val="fr-FR"/>
      </w:rPr>
    </w:pPr>
    <w:r w:rsidRPr="009425BA">
      <w:rPr>
        <w:rFonts w:cs="Arial"/>
        <w:bCs/>
        <w:sz w:val="16"/>
        <w:szCs w:val="20"/>
      </w:rPr>
      <w:t xml:space="preserve">Email: </w:t>
    </w:r>
    <w:r w:rsidRPr="009425BA">
      <w:rPr>
        <w:rFonts w:cs="Arial"/>
        <w:bCs/>
        <w:sz w:val="16"/>
        <w:szCs w:val="20"/>
        <w:lang w:val="fr-FR"/>
      </w:rPr>
      <w:t xml:space="preserve">info@praxedes-group.com. Correo </w:t>
    </w:r>
    <w:r>
      <w:rPr>
        <w:rFonts w:cs="Arial"/>
        <w:bCs/>
        <w:sz w:val="16"/>
        <w:szCs w:val="20"/>
        <w:lang w:val="fr-FR"/>
      </w:rPr>
      <w:t>Envío</w:t>
    </w:r>
    <w:r w:rsidRPr="009425BA">
      <w:rPr>
        <w:rFonts w:cs="Arial"/>
        <w:bCs/>
        <w:sz w:val="16"/>
        <w:szCs w:val="20"/>
        <w:lang w:val="fr-FR"/>
      </w:rPr>
      <w:t xml:space="preserve"> de Solicitudes : </w:t>
    </w:r>
    <w:r w:rsidRPr="009425BA">
      <w:rPr>
        <w:sz w:val="16"/>
        <w:szCs w:val="20"/>
      </w:rPr>
      <w:t>helpdesk@praxedes-group.com</w:t>
    </w:r>
  </w:p>
  <w:p w:rsidR="0096202E" w:rsidRDefault="0096202E" w:rsidP="00B72D17">
    <w:pPr>
      <w:pStyle w:val="Piedepgina"/>
      <w:tabs>
        <w:tab w:val="clear" w:pos="4252"/>
        <w:tab w:val="clear" w:pos="8504"/>
        <w:tab w:val="left" w:pos="244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E0" w:rsidRDefault="00A458E0" w:rsidP="001F4108">
      <w:pPr>
        <w:spacing w:after="0" w:line="240" w:lineRule="auto"/>
      </w:pPr>
      <w:r>
        <w:separator/>
      </w:r>
    </w:p>
  </w:footnote>
  <w:footnote w:type="continuationSeparator" w:id="0">
    <w:p w:rsidR="00A458E0" w:rsidRDefault="00A458E0" w:rsidP="001F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Ind w:w="-147" w:type="dxa"/>
      <w:tblLook w:val="04A0" w:firstRow="1" w:lastRow="0" w:firstColumn="1" w:lastColumn="0" w:noHBand="0" w:noVBand="1"/>
    </w:tblPr>
    <w:tblGrid>
      <w:gridCol w:w="1985"/>
      <w:gridCol w:w="4111"/>
      <w:gridCol w:w="1653"/>
      <w:gridCol w:w="1607"/>
    </w:tblGrid>
    <w:tr w:rsidR="004616AC" w:rsidRPr="00375E95" w:rsidTr="002B395C">
      <w:trPr>
        <w:trHeight w:val="274"/>
      </w:trPr>
      <w:tc>
        <w:tcPr>
          <w:tcW w:w="1985" w:type="dxa"/>
          <w:vMerge w:val="restart"/>
        </w:tcPr>
        <w:p w:rsidR="004616AC" w:rsidRPr="00375E95" w:rsidRDefault="004616AC" w:rsidP="004616AC">
          <w:pPr>
            <w:pStyle w:val="Encabezado"/>
            <w:rPr>
              <w:rFonts w:ascii="Arial" w:hAnsi="Arial" w:cs="Arial"/>
              <w:sz w:val="16"/>
            </w:rPr>
          </w:pPr>
          <w:r w:rsidRPr="00375E95">
            <w:rPr>
              <w:rFonts w:ascii="Arial" w:hAnsi="Arial" w:cs="Arial"/>
              <w:noProof/>
              <w:sz w:val="16"/>
              <w:lang w:eastAsia="es-CO"/>
            </w:rPr>
            <w:drawing>
              <wp:inline distT="0" distB="0" distL="0" distR="0" wp14:anchorId="0ADD23CE" wp14:editId="60B35200">
                <wp:extent cx="1081789" cy="750627"/>
                <wp:effectExtent l="0" t="0" r="444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idasof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820" cy="806159"/>
                        </a:xfrm>
                        <a:prstGeom prst="rect">
                          <a:avLst/>
                        </a:prstGeom>
                      </pic:spPr>
                    </pic:pic>
                  </a:graphicData>
                </a:graphic>
              </wp:inline>
            </w:drawing>
          </w:r>
        </w:p>
      </w:tc>
      <w:tc>
        <w:tcPr>
          <w:tcW w:w="4111" w:type="dxa"/>
          <w:vMerge w:val="restart"/>
          <w:vAlign w:val="center"/>
        </w:tcPr>
        <w:p w:rsidR="004616AC" w:rsidRPr="00802AB2" w:rsidRDefault="004616AC" w:rsidP="004616AC">
          <w:pPr>
            <w:spacing w:line="259" w:lineRule="auto"/>
            <w:ind w:left="8"/>
            <w:jc w:val="center"/>
            <w:rPr>
              <w:sz w:val="24"/>
              <w:szCs w:val="24"/>
            </w:rPr>
          </w:pPr>
          <w:r>
            <w:rPr>
              <w:sz w:val="24"/>
              <w:szCs w:val="24"/>
            </w:rPr>
            <w:t>CONFIGURACION PARAFISCALES LEY 1429 DE 2010</w:t>
          </w:r>
        </w:p>
        <w:p w:rsidR="004616AC" w:rsidRPr="0096541B" w:rsidRDefault="004616AC" w:rsidP="004616AC">
          <w:pPr>
            <w:pStyle w:val="Encabezado"/>
            <w:jc w:val="center"/>
            <w:rPr>
              <w:rFonts w:ascii="Arial" w:hAnsi="Arial" w:cs="Arial"/>
              <w:sz w:val="24"/>
            </w:rPr>
          </w:pPr>
        </w:p>
      </w:tc>
      <w:tc>
        <w:tcPr>
          <w:tcW w:w="1653" w:type="dxa"/>
          <w:vAlign w:val="center"/>
        </w:tcPr>
        <w:p w:rsidR="004616AC" w:rsidRPr="00563EB9" w:rsidRDefault="004616AC" w:rsidP="004616AC">
          <w:pPr>
            <w:pStyle w:val="Encabezado"/>
            <w:jc w:val="right"/>
            <w:rPr>
              <w:rFonts w:ascii="Arial" w:hAnsi="Arial" w:cs="Arial"/>
              <w:sz w:val="12"/>
            </w:rPr>
          </w:pPr>
          <w:r w:rsidRPr="00563EB9">
            <w:rPr>
              <w:rFonts w:ascii="Arial" w:hAnsi="Arial" w:cs="Arial"/>
              <w:sz w:val="12"/>
            </w:rPr>
            <w:t>CODIGO</w:t>
          </w:r>
        </w:p>
      </w:tc>
      <w:tc>
        <w:tcPr>
          <w:tcW w:w="1607" w:type="dxa"/>
          <w:vAlign w:val="center"/>
        </w:tcPr>
        <w:p w:rsidR="004616AC" w:rsidRPr="00563EB9" w:rsidRDefault="004616AC" w:rsidP="004616AC">
          <w:pPr>
            <w:pStyle w:val="Encabezado"/>
            <w:jc w:val="center"/>
            <w:rPr>
              <w:rFonts w:ascii="Arial" w:hAnsi="Arial" w:cs="Arial"/>
              <w:color w:val="FF0000"/>
              <w:sz w:val="12"/>
            </w:rPr>
          </w:pPr>
          <w:r w:rsidRPr="00563EB9">
            <w:rPr>
              <w:rFonts w:ascii="Arial" w:hAnsi="Arial" w:cs="Arial"/>
              <w:color w:val="FF0000"/>
              <w:sz w:val="12"/>
            </w:rPr>
            <w:t>Modulo Proceso-Código Documento-Versión Software</w:t>
          </w:r>
        </w:p>
      </w:tc>
    </w:tr>
    <w:tr w:rsidR="004616AC" w:rsidRPr="00375E95" w:rsidTr="002B395C">
      <w:trPr>
        <w:trHeight w:val="283"/>
      </w:trPr>
      <w:tc>
        <w:tcPr>
          <w:tcW w:w="1985" w:type="dxa"/>
          <w:vMerge/>
        </w:tcPr>
        <w:p w:rsidR="004616AC" w:rsidRPr="00375E95" w:rsidRDefault="004616AC" w:rsidP="004616AC">
          <w:pPr>
            <w:pStyle w:val="Encabezado"/>
            <w:rPr>
              <w:rFonts w:ascii="Arial" w:hAnsi="Arial" w:cs="Arial"/>
              <w:noProof/>
              <w:sz w:val="16"/>
            </w:rPr>
          </w:pPr>
        </w:p>
      </w:tc>
      <w:tc>
        <w:tcPr>
          <w:tcW w:w="4111" w:type="dxa"/>
          <w:vMerge/>
        </w:tcPr>
        <w:p w:rsidR="004616AC" w:rsidRPr="0096541B" w:rsidRDefault="004616AC" w:rsidP="004616AC">
          <w:pPr>
            <w:pStyle w:val="Encabezado"/>
            <w:rPr>
              <w:rFonts w:ascii="Arial" w:hAnsi="Arial" w:cs="Arial"/>
              <w:sz w:val="24"/>
            </w:rPr>
          </w:pPr>
        </w:p>
      </w:tc>
      <w:tc>
        <w:tcPr>
          <w:tcW w:w="1653" w:type="dxa"/>
          <w:vAlign w:val="center"/>
        </w:tcPr>
        <w:p w:rsidR="004616AC" w:rsidRPr="00563EB9" w:rsidRDefault="004616AC" w:rsidP="004616AC">
          <w:pPr>
            <w:pStyle w:val="Encabezado"/>
            <w:jc w:val="right"/>
            <w:rPr>
              <w:rFonts w:ascii="Arial" w:hAnsi="Arial" w:cs="Arial"/>
              <w:sz w:val="12"/>
            </w:rPr>
          </w:pPr>
          <w:r w:rsidRPr="00563EB9">
            <w:rPr>
              <w:rFonts w:ascii="Arial" w:hAnsi="Arial" w:cs="Arial"/>
              <w:sz w:val="12"/>
            </w:rPr>
            <w:t>FECHA CREACION</w:t>
          </w:r>
          <w:r w:rsidRPr="00563EB9">
            <w:rPr>
              <w:rFonts w:cs="Arial"/>
              <w:sz w:val="12"/>
            </w:rPr>
            <w:t xml:space="preserve"> (DD/MM/AAAA)</w:t>
          </w:r>
        </w:p>
        <w:p w:rsidR="004616AC" w:rsidRPr="00563EB9" w:rsidRDefault="004616AC" w:rsidP="004616AC">
          <w:pPr>
            <w:pStyle w:val="Encabezado"/>
            <w:jc w:val="right"/>
            <w:rPr>
              <w:rFonts w:ascii="Arial" w:hAnsi="Arial" w:cs="Arial"/>
              <w:sz w:val="12"/>
            </w:rPr>
          </w:pPr>
        </w:p>
      </w:tc>
      <w:tc>
        <w:tcPr>
          <w:tcW w:w="1607" w:type="dxa"/>
          <w:vAlign w:val="center"/>
        </w:tcPr>
        <w:p w:rsidR="004616AC" w:rsidRPr="00563EB9" w:rsidRDefault="004616AC" w:rsidP="004616AC">
          <w:pPr>
            <w:pStyle w:val="Encabezado"/>
            <w:jc w:val="center"/>
            <w:rPr>
              <w:rFonts w:ascii="Arial" w:hAnsi="Arial" w:cs="Arial"/>
              <w:color w:val="FF0000"/>
              <w:sz w:val="12"/>
            </w:rPr>
          </w:pPr>
          <w:r w:rsidRPr="00563EB9">
            <w:rPr>
              <w:rFonts w:cs="Arial"/>
              <w:color w:val="FF0000"/>
              <w:sz w:val="12"/>
            </w:rPr>
            <w:t>DD/MM/AAAA</w:t>
          </w:r>
        </w:p>
      </w:tc>
    </w:tr>
    <w:tr w:rsidR="004616AC" w:rsidRPr="00375E95" w:rsidTr="002B395C">
      <w:trPr>
        <w:trHeight w:val="274"/>
      </w:trPr>
      <w:tc>
        <w:tcPr>
          <w:tcW w:w="1985" w:type="dxa"/>
          <w:vMerge/>
        </w:tcPr>
        <w:p w:rsidR="004616AC" w:rsidRPr="00375E95" w:rsidRDefault="004616AC" w:rsidP="004616AC">
          <w:pPr>
            <w:pStyle w:val="Encabezado"/>
            <w:rPr>
              <w:rFonts w:ascii="Arial" w:hAnsi="Arial" w:cs="Arial"/>
              <w:noProof/>
              <w:sz w:val="16"/>
            </w:rPr>
          </w:pPr>
        </w:p>
      </w:tc>
      <w:tc>
        <w:tcPr>
          <w:tcW w:w="4111" w:type="dxa"/>
          <w:vMerge/>
        </w:tcPr>
        <w:p w:rsidR="004616AC" w:rsidRPr="0096541B" w:rsidRDefault="004616AC" w:rsidP="004616AC">
          <w:pPr>
            <w:pStyle w:val="Encabezado"/>
            <w:rPr>
              <w:rFonts w:ascii="Arial" w:hAnsi="Arial" w:cs="Arial"/>
              <w:sz w:val="24"/>
            </w:rPr>
          </w:pPr>
        </w:p>
      </w:tc>
      <w:tc>
        <w:tcPr>
          <w:tcW w:w="1653" w:type="dxa"/>
          <w:vAlign w:val="center"/>
        </w:tcPr>
        <w:p w:rsidR="004616AC" w:rsidRPr="00563EB9" w:rsidRDefault="004616AC" w:rsidP="004616AC">
          <w:pPr>
            <w:pStyle w:val="Encabezado"/>
            <w:jc w:val="right"/>
            <w:rPr>
              <w:rFonts w:ascii="Arial" w:hAnsi="Arial" w:cs="Arial"/>
              <w:sz w:val="12"/>
            </w:rPr>
          </w:pPr>
          <w:r w:rsidRPr="00563EB9">
            <w:rPr>
              <w:rFonts w:ascii="Arial" w:hAnsi="Arial" w:cs="Arial"/>
              <w:sz w:val="12"/>
            </w:rPr>
            <w:t>FECHA ACTUALIZACION</w:t>
          </w:r>
          <w:r w:rsidRPr="00563EB9">
            <w:rPr>
              <w:rFonts w:cs="Arial"/>
              <w:sz w:val="12"/>
            </w:rPr>
            <w:t xml:space="preserve"> (DD/MM/AAAA)</w:t>
          </w:r>
        </w:p>
      </w:tc>
      <w:tc>
        <w:tcPr>
          <w:tcW w:w="1607" w:type="dxa"/>
          <w:vAlign w:val="center"/>
        </w:tcPr>
        <w:p w:rsidR="004616AC" w:rsidRPr="00563EB9" w:rsidRDefault="004616AC" w:rsidP="004616AC">
          <w:pPr>
            <w:pStyle w:val="Encabezado"/>
            <w:jc w:val="center"/>
            <w:rPr>
              <w:rFonts w:ascii="Arial" w:hAnsi="Arial" w:cs="Arial"/>
              <w:color w:val="FF0000"/>
              <w:sz w:val="12"/>
            </w:rPr>
          </w:pPr>
          <w:r w:rsidRPr="00563EB9">
            <w:rPr>
              <w:rFonts w:cs="Arial"/>
              <w:color w:val="FF0000"/>
              <w:sz w:val="12"/>
            </w:rPr>
            <w:t>DD/MM/AAAA</w:t>
          </w:r>
        </w:p>
      </w:tc>
    </w:tr>
    <w:tr w:rsidR="004616AC" w:rsidRPr="00375E95" w:rsidTr="002B395C">
      <w:trPr>
        <w:trHeight w:val="274"/>
      </w:trPr>
      <w:tc>
        <w:tcPr>
          <w:tcW w:w="1985" w:type="dxa"/>
          <w:vMerge/>
        </w:tcPr>
        <w:p w:rsidR="004616AC" w:rsidRPr="00375E95" w:rsidRDefault="004616AC" w:rsidP="004616AC">
          <w:pPr>
            <w:pStyle w:val="Encabezado"/>
            <w:rPr>
              <w:rFonts w:cs="Arial"/>
              <w:noProof/>
              <w:sz w:val="16"/>
            </w:rPr>
          </w:pPr>
        </w:p>
      </w:tc>
      <w:tc>
        <w:tcPr>
          <w:tcW w:w="4111" w:type="dxa"/>
          <w:vMerge/>
        </w:tcPr>
        <w:p w:rsidR="004616AC" w:rsidRPr="0096541B" w:rsidRDefault="004616AC" w:rsidP="004616AC">
          <w:pPr>
            <w:pStyle w:val="Encabezado"/>
            <w:rPr>
              <w:rFonts w:cs="Arial"/>
            </w:rPr>
          </w:pPr>
        </w:p>
      </w:tc>
      <w:tc>
        <w:tcPr>
          <w:tcW w:w="1653" w:type="dxa"/>
          <w:vAlign w:val="center"/>
        </w:tcPr>
        <w:p w:rsidR="004616AC" w:rsidRPr="00563EB9" w:rsidRDefault="004616AC" w:rsidP="004616AC">
          <w:pPr>
            <w:pStyle w:val="Encabezado"/>
            <w:jc w:val="right"/>
            <w:rPr>
              <w:rFonts w:cs="Arial"/>
              <w:sz w:val="12"/>
            </w:rPr>
          </w:pPr>
          <w:r w:rsidRPr="00563EB9">
            <w:rPr>
              <w:rFonts w:cs="Arial"/>
              <w:sz w:val="12"/>
            </w:rPr>
            <w:t>VERSIÓN</w:t>
          </w:r>
        </w:p>
      </w:tc>
      <w:tc>
        <w:tcPr>
          <w:tcW w:w="1607" w:type="dxa"/>
          <w:vAlign w:val="center"/>
        </w:tcPr>
        <w:p w:rsidR="004616AC" w:rsidRPr="00563EB9" w:rsidRDefault="004616AC" w:rsidP="004616AC">
          <w:pPr>
            <w:pStyle w:val="Encabezado"/>
            <w:jc w:val="center"/>
            <w:rPr>
              <w:rFonts w:cs="Arial"/>
              <w:color w:val="FF0000"/>
              <w:sz w:val="12"/>
            </w:rPr>
          </w:pPr>
          <w:r>
            <w:rPr>
              <w:rFonts w:cs="Arial"/>
              <w:color w:val="FF0000"/>
              <w:sz w:val="12"/>
            </w:rPr>
            <w:t>Nº (1, 2,3…)</w:t>
          </w:r>
        </w:p>
      </w:tc>
    </w:tr>
    <w:tr w:rsidR="004616AC" w:rsidRPr="00375E95" w:rsidTr="002B395C">
      <w:trPr>
        <w:trHeight w:val="209"/>
      </w:trPr>
      <w:tc>
        <w:tcPr>
          <w:tcW w:w="1985" w:type="dxa"/>
          <w:vMerge/>
        </w:tcPr>
        <w:p w:rsidR="004616AC" w:rsidRPr="00375E95" w:rsidRDefault="004616AC" w:rsidP="004616AC">
          <w:pPr>
            <w:pStyle w:val="Encabezado"/>
            <w:rPr>
              <w:rFonts w:ascii="Arial" w:hAnsi="Arial" w:cs="Arial"/>
              <w:noProof/>
              <w:sz w:val="16"/>
            </w:rPr>
          </w:pPr>
        </w:p>
      </w:tc>
      <w:tc>
        <w:tcPr>
          <w:tcW w:w="4111" w:type="dxa"/>
          <w:vMerge/>
        </w:tcPr>
        <w:p w:rsidR="004616AC" w:rsidRPr="0096541B" w:rsidRDefault="004616AC" w:rsidP="004616AC">
          <w:pPr>
            <w:pStyle w:val="Encabezado"/>
            <w:rPr>
              <w:rFonts w:ascii="Arial" w:hAnsi="Arial" w:cs="Arial"/>
              <w:sz w:val="24"/>
            </w:rPr>
          </w:pPr>
        </w:p>
      </w:tc>
      <w:tc>
        <w:tcPr>
          <w:tcW w:w="1653" w:type="dxa"/>
          <w:vAlign w:val="center"/>
        </w:tcPr>
        <w:p w:rsidR="004616AC" w:rsidRPr="00563EB9" w:rsidRDefault="004616AC" w:rsidP="004616AC">
          <w:pPr>
            <w:pStyle w:val="Encabezado"/>
            <w:jc w:val="right"/>
            <w:rPr>
              <w:rFonts w:ascii="Arial" w:hAnsi="Arial" w:cs="Arial"/>
              <w:sz w:val="12"/>
            </w:rPr>
          </w:pPr>
          <w:r w:rsidRPr="00563EB9">
            <w:rPr>
              <w:rFonts w:ascii="Arial" w:hAnsi="Arial" w:cs="Arial"/>
              <w:sz w:val="12"/>
            </w:rPr>
            <w:t>ELABORÓ</w:t>
          </w:r>
        </w:p>
      </w:tc>
      <w:tc>
        <w:tcPr>
          <w:tcW w:w="1607" w:type="dxa"/>
          <w:vAlign w:val="center"/>
        </w:tcPr>
        <w:p w:rsidR="004616AC" w:rsidRPr="00563EB9" w:rsidRDefault="004616AC" w:rsidP="004616AC">
          <w:pPr>
            <w:pStyle w:val="Encabezado"/>
            <w:jc w:val="center"/>
            <w:rPr>
              <w:rFonts w:ascii="Arial" w:hAnsi="Arial" w:cs="Arial"/>
              <w:color w:val="FF0000"/>
              <w:sz w:val="12"/>
            </w:rPr>
          </w:pPr>
        </w:p>
      </w:tc>
    </w:tr>
  </w:tbl>
  <w:p w:rsidR="0096202E" w:rsidRDefault="009620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755EC"/>
    <w:multiLevelType w:val="hybridMultilevel"/>
    <w:tmpl w:val="3C3E7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F21A64"/>
    <w:multiLevelType w:val="multilevel"/>
    <w:tmpl w:val="FCE6C1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6CBF298E"/>
    <w:multiLevelType w:val="hybridMultilevel"/>
    <w:tmpl w:val="B538A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08"/>
    <w:rsid w:val="00110AF2"/>
    <w:rsid w:val="001F4108"/>
    <w:rsid w:val="002D59D5"/>
    <w:rsid w:val="00332D9E"/>
    <w:rsid w:val="00375E95"/>
    <w:rsid w:val="004616AC"/>
    <w:rsid w:val="004D13A0"/>
    <w:rsid w:val="00545B11"/>
    <w:rsid w:val="00547841"/>
    <w:rsid w:val="00563EB9"/>
    <w:rsid w:val="005A02A2"/>
    <w:rsid w:val="005B51A3"/>
    <w:rsid w:val="005E220C"/>
    <w:rsid w:val="005F41BE"/>
    <w:rsid w:val="006B2D82"/>
    <w:rsid w:val="006C23C8"/>
    <w:rsid w:val="00770813"/>
    <w:rsid w:val="0080144D"/>
    <w:rsid w:val="00812DE6"/>
    <w:rsid w:val="00894953"/>
    <w:rsid w:val="00916E57"/>
    <w:rsid w:val="0096202E"/>
    <w:rsid w:val="0099315D"/>
    <w:rsid w:val="009C2F29"/>
    <w:rsid w:val="00A458E0"/>
    <w:rsid w:val="00AB2121"/>
    <w:rsid w:val="00B327CF"/>
    <w:rsid w:val="00B72D17"/>
    <w:rsid w:val="00BD29E6"/>
    <w:rsid w:val="00CF49DC"/>
    <w:rsid w:val="00D46D08"/>
    <w:rsid w:val="00DC1119"/>
    <w:rsid w:val="00DD6E3E"/>
    <w:rsid w:val="00E95F85"/>
    <w:rsid w:val="00EB053B"/>
    <w:rsid w:val="00EB05C6"/>
    <w:rsid w:val="00F109FC"/>
    <w:rsid w:val="00F96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71494D-A467-45BB-9F7C-286D32A7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link w:val="Ttulo1Car"/>
    <w:uiPriority w:val="9"/>
    <w:qFormat/>
    <w:rsid w:val="00110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5A02A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7708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1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4108"/>
    <w:rPr>
      <w:lang w:val="es-CO"/>
    </w:rPr>
  </w:style>
  <w:style w:type="paragraph" w:styleId="Piedepgina">
    <w:name w:val="footer"/>
    <w:basedOn w:val="Normal"/>
    <w:link w:val="PiedepginaCar"/>
    <w:uiPriority w:val="99"/>
    <w:unhideWhenUsed/>
    <w:rsid w:val="001F41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4108"/>
    <w:rPr>
      <w:lang w:val="es-CO"/>
    </w:rPr>
  </w:style>
  <w:style w:type="table" w:styleId="Tablaconcuadrcula">
    <w:name w:val="Table Grid"/>
    <w:basedOn w:val="Tablanormal"/>
    <w:uiPriority w:val="39"/>
    <w:rsid w:val="001F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10AF2"/>
    <w:rPr>
      <w:rFonts w:asciiTheme="majorHAnsi" w:eastAsiaTheme="majorEastAsia" w:hAnsiTheme="majorHAnsi" w:cstheme="majorBidi"/>
      <w:color w:val="2E74B5" w:themeColor="accent1" w:themeShade="BF"/>
      <w:sz w:val="32"/>
      <w:szCs w:val="32"/>
      <w:lang w:val="es-CO"/>
    </w:rPr>
  </w:style>
  <w:style w:type="paragraph" w:styleId="TtulodeTDC">
    <w:name w:val="TOC Heading"/>
    <w:basedOn w:val="Ttulo1"/>
    <w:next w:val="Normal"/>
    <w:uiPriority w:val="39"/>
    <w:unhideWhenUsed/>
    <w:qFormat/>
    <w:rsid w:val="00110AF2"/>
    <w:pPr>
      <w:outlineLvl w:val="9"/>
    </w:pPr>
    <w:rPr>
      <w:lang w:val="es-ES" w:eastAsia="es-ES"/>
    </w:rPr>
  </w:style>
  <w:style w:type="paragraph" w:styleId="Prrafodelista">
    <w:name w:val="List Paragraph"/>
    <w:basedOn w:val="Normal"/>
    <w:uiPriority w:val="34"/>
    <w:qFormat/>
    <w:rsid w:val="00110AF2"/>
    <w:pPr>
      <w:ind w:left="720"/>
      <w:contextualSpacing/>
    </w:pPr>
  </w:style>
  <w:style w:type="paragraph" w:styleId="TDC1">
    <w:name w:val="toc 1"/>
    <w:basedOn w:val="Normal"/>
    <w:next w:val="Normal"/>
    <w:autoRedefine/>
    <w:uiPriority w:val="39"/>
    <w:unhideWhenUsed/>
    <w:rsid w:val="00D46D08"/>
    <w:pPr>
      <w:spacing w:after="100"/>
    </w:pPr>
  </w:style>
  <w:style w:type="character" w:styleId="Hipervnculo">
    <w:name w:val="Hyperlink"/>
    <w:basedOn w:val="Fuentedeprrafopredeter"/>
    <w:uiPriority w:val="99"/>
    <w:unhideWhenUsed/>
    <w:rsid w:val="00D46D08"/>
    <w:rPr>
      <w:color w:val="0563C1" w:themeColor="hyperlink"/>
      <w:u w:val="single"/>
    </w:rPr>
  </w:style>
  <w:style w:type="paragraph" w:styleId="Textoindependiente">
    <w:name w:val="Body Text"/>
    <w:basedOn w:val="Normal"/>
    <w:link w:val="TextoindependienteCar"/>
    <w:uiPriority w:val="1"/>
    <w:qFormat/>
    <w:rsid w:val="00547841"/>
    <w:pPr>
      <w:widowControl w:val="0"/>
      <w:spacing w:after="0" w:line="240" w:lineRule="auto"/>
    </w:pPr>
    <w:rPr>
      <w:rFonts w:ascii="Arial" w:eastAsia="Arial" w:hAnsi="Arial" w:cs="Arial"/>
      <w:sz w:val="24"/>
      <w:szCs w:val="24"/>
      <w:lang w:val="en-US"/>
    </w:rPr>
  </w:style>
  <w:style w:type="character" w:customStyle="1" w:styleId="TextoindependienteCar">
    <w:name w:val="Texto independiente Car"/>
    <w:basedOn w:val="Fuentedeprrafopredeter"/>
    <w:link w:val="Textoindependiente"/>
    <w:uiPriority w:val="1"/>
    <w:rsid w:val="00547841"/>
    <w:rPr>
      <w:rFonts w:ascii="Arial" w:eastAsia="Arial" w:hAnsi="Arial" w:cs="Arial"/>
      <w:sz w:val="24"/>
      <w:szCs w:val="24"/>
      <w:lang w:val="en-US"/>
    </w:rPr>
  </w:style>
  <w:style w:type="character" w:customStyle="1" w:styleId="Ttulo2Car">
    <w:name w:val="Título 2 Car"/>
    <w:basedOn w:val="Fuentedeprrafopredeter"/>
    <w:link w:val="Ttulo2"/>
    <w:uiPriority w:val="9"/>
    <w:rsid w:val="005A02A2"/>
    <w:rPr>
      <w:rFonts w:ascii="Times New Roman" w:eastAsia="Times New Roman" w:hAnsi="Times New Roman" w:cs="Times New Roman"/>
      <w:b/>
      <w:bCs/>
      <w:sz w:val="36"/>
      <w:szCs w:val="36"/>
      <w:lang w:val="es-CO" w:eastAsia="es-CO"/>
    </w:rPr>
  </w:style>
  <w:style w:type="character" w:customStyle="1" w:styleId="Ttulo3Car">
    <w:name w:val="Título 3 Car"/>
    <w:basedOn w:val="Fuentedeprrafopredeter"/>
    <w:link w:val="Ttulo3"/>
    <w:uiPriority w:val="9"/>
    <w:semiHidden/>
    <w:rsid w:val="00770813"/>
    <w:rPr>
      <w:rFonts w:asciiTheme="majorHAnsi" w:eastAsiaTheme="majorEastAsia" w:hAnsiTheme="majorHAnsi" w:cstheme="majorBidi"/>
      <w:color w:val="1F4D78" w:themeColor="accent1" w:themeShade="7F"/>
      <w:sz w:val="24"/>
      <w:szCs w:val="24"/>
      <w:lang w:val="es-CO"/>
    </w:rPr>
  </w:style>
  <w:style w:type="paragraph" w:styleId="NormalWeb">
    <w:name w:val="Normal (Web)"/>
    <w:basedOn w:val="Normal"/>
    <w:uiPriority w:val="99"/>
    <w:semiHidden/>
    <w:unhideWhenUsed/>
    <w:rsid w:val="0077081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2">
    <w:name w:val="toc 2"/>
    <w:basedOn w:val="Normal"/>
    <w:next w:val="Normal"/>
    <w:autoRedefine/>
    <w:uiPriority w:val="39"/>
    <w:unhideWhenUsed/>
    <w:rsid w:val="00BD29E6"/>
    <w:pPr>
      <w:spacing w:after="100"/>
      <w:ind w:left="220"/>
    </w:pPr>
  </w:style>
  <w:style w:type="paragraph" w:styleId="TDC3">
    <w:name w:val="toc 3"/>
    <w:basedOn w:val="Normal"/>
    <w:next w:val="Normal"/>
    <w:autoRedefine/>
    <w:uiPriority w:val="39"/>
    <w:unhideWhenUsed/>
    <w:rsid w:val="00BD29E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5618">
      <w:bodyDiv w:val="1"/>
      <w:marLeft w:val="0"/>
      <w:marRight w:val="0"/>
      <w:marTop w:val="0"/>
      <w:marBottom w:val="0"/>
      <w:divBdr>
        <w:top w:val="none" w:sz="0" w:space="0" w:color="auto"/>
        <w:left w:val="none" w:sz="0" w:space="0" w:color="auto"/>
        <w:bottom w:val="none" w:sz="0" w:space="0" w:color="auto"/>
        <w:right w:val="none" w:sz="0" w:space="0" w:color="auto"/>
      </w:divBdr>
    </w:div>
    <w:div w:id="609357213">
      <w:bodyDiv w:val="1"/>
      <w:marLeft w:val="0"/>
      <w:marRight w:val="0"/>
      <w:marTop w:val="0"/>
      <w:marBottom w:val="0"/>
      <w:divBdr>
        <w:top w:val="none" w:sz="0" w:space="0" w:color="auto"/>
        <w:left w:val="none" w:sz="0" w:space="0" w:color="auto"/>
        <w:bottom w:val="none" w:sz="0" w:space="0" w:color="auto"/>
        <w:right w:val="none" w:sz="0" w:space="0" w:color="auto"/>
      </w:divBdr>
    </w:div>
    <w:div w:id="18260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2BAB7-EE21-4025-B7DC-2AFEDB4E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carolina.restrepo</dc:creator>
  <cp:keywords/>
  <dc:description/>
  <cp:lastModifiedBy>HUGO TABARES</cp:lastModifiedBy>
  <cp:revision>5</cp:revision>
  <dcterms:created xsi:type="dcterms:W3CDTF">2017-08-01T18:25:00Z</dcterms:created>
  <dcterms:modified xsi:type="dcterms:W3CDTF">2017-08-01T19:30:00Z</dcterms:modified>
</cp:coreProperties>
</file>